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>П. Теченский, улица Школьная, дом № 3</w:t>
      </w:r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>
            <w:bookmarkStart w:id="0" w:name="_GoBack"/>
            <w:bookmarkEnd w:id="0"/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B41CD0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2015-05-07T09:25:00Z</dcterms:created>
  <dcterms:modified xsi:type="dcterms:W3CDTF">2015-05-07T09:36:00Z</dcterms:modified>
</cp:coreProperties>
</file>