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080371"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ВОЗНЕСЕНСКОГО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080371">
        <w:rPr>
          <w:rFonts w:ascii="Segoe UI Light" w:hAnsi="Segoe UI Light" w:cs="Arial"/>
          <w:spacing w:val="2"/>
          <w:shd w:val="clear" w:color="auto" w:fill="FFFFFF"/>
        </w:rPr>
        <w:t>Вознесенского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8577DC"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8577DC"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8577DC"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8577DC"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8577DC"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8577DC"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8577DC"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8577DC"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8577DC"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8577DC"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8577DC"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8577DC"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8577DC"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AC" w:rsidRDefault="003468AC" w:rsidP="001A4604">
      <w:pPr>
        <w:spacing w:after="0" w:line="240" w:lineRule="auto"/>
      </w:pPr>
      <w:r>
        <w:separator/>
      </w:r>
    </w:p>
  </w:endnote>
  <w:endnote w:type="continuationSeparator" w:id="0">
    <w:p w:rsidR="003468AC" w:rsidRDefault="003468AC"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AC" w:rsidRDefault="003468AC" w:rsidP="001A4604">
      <w:pPr>
        <w:spacing w:after="0" w:line="240" w:lineRule="auto"/>
      </w:pPr>
      <w:r>
        <w:separator/>
      </w:r>
    </w:p>
  </w:footnote>
  <w:footnote w:type="continuationSeparator" w:id="0">
    <w:p w:rsidR="003468AC" w:rsidRDefault="003468AC"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8577DC" w:rsidP="002257C5">
        <w:pPr>
          <w:pStyle w:val="a9"/>
          <w:jc w:val="right"/>
        </w:pPr>
        <w:fldSimple w:instr=" PAGE   \* MERGEFORMAT ">
          <w:r w:rsidR="0008037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371"/>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8AC"/>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577DC"/>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406E4-D6FF-403D-9836-CCAA3B1B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17050</Words>
  <Characters>97190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2016-10-25T09:02:00Z</dcterms:modified>
</cp:coreProperties>
</file>