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F3" w:rsidRPr="008825F3" w:rsidRDefault="008825F3" w:rsidP="008825F3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8825F3">
        <w:rPr>
          <w:rFonts w:ascii="Times New Roman" w:hAnsi="Times New Roman" w:cs="Times New Roman"/>
          <w:b/>
          <w:sz w:val="24"/>
          <w:szCs w:val="24"/>
        </w:rPr>
        <w:t>Силуанов</w:t>
      </w:r>
      <w:proofErr w:type="spellEnd"/>
      <w:r w:rsidRPr="008825F3">
        <w:rPr>
          <w:rFonts w:ascii="Times New Roman" w:hAnsi="Times New Roman" w:cs="Times New Roman"/>
          <w:b/>
          <w:sz w:val="24"/>
          <w:szCs w:val="24"/>
        </w:rPr>
        <w:t xml:space="preserve"> оценил решение </w:t>
      </w:r>
      <w:proofErr w:type="spellStart"/>
      <w:r w:rsidRPr="008825F3">
        <w:rPr>
          <w:rFonts w:ascii="Times New Roman" w:hAnsi="Times New Roman" w:cs="Times New Roman"/>
          <w:b/>
          <w:sz w:val="24"/>
          <w:szCs w:val="24"/>
        </w:rPr>
        <w:t>Fitch</w:t>
      </w:r>
      <w:proofErr w:type="spellEnd"/>
      <w:r w:rsidRPr="008825F3">
        <w:rPr>
          <w:rFonts w:ascii="Times New Roman" w:hAnsi="Times New Roman" w:cs="Times New Roman"/>
          <w:b/>
          <w:sz w:val="24"/>
          <w:szCs w:val="24"/>
        </w:rPr>
        <w:t xml:space="preserve"> по рейтингу России</w:t>
      </w:r>
    </w:p>
    <w:p w:rsidR="00B743B1" w:rsidRPr="00AF1BE3" w:rsidRDefault="008825F3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5A61">
          <w:rPr>
            <w:rStyle w:val="a5"/>
            <w:rFonts w:ascii="Times New Roman" w:hAnsi="Times New Roman" w:cs="Times New Roman"/>
            <w:sz w:val="24"/>
            <w:szCs w:val="24"/>
          </w:rPr>
          <w:t>https://ria.ru/20200807/1575514198.html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B1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В пятницу агентство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Fitch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подтвердило долгосрочный суверенный рейтинг дефолта эмитента России на уровне "BBB", прогноз стабильный.</w:t>
      </w:r>
    </w:p>
    <w:p w:rsidR="008825F3" w:rsidRPr="00AF1BE3" w:rsidRDefault="008825F3" w:rsidP="008825F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Fitch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E3">
        <w:rPr>
          <w:rFonts w:ascii="Times New Roman" w:hAnsi="Times New Roman" w:cs="Times New Roman"/>
          <w:sz w:val="24"/>
          <w:szCs w:val="24"/>
        </w:rPr>
        <w:t xml:space="preserve">свидетельствует об устойчивости макроэкономической конструкции страны даже в условиях турбулентной внешней конъюнктуры, </w:t>
      </w:r>
      <w:r>
        <w:rPr>
          <w:rFonts w:ascii="Times New Roman" w:hAnsi="Times New Roman" w:cs="Times New Roman"/>
          <w:sz w:val="24"/>
          <w:szCs w:val="24"/>
        </w:rPr>
        <w:t>заявил</w:t>
      </w:r>
      <w:r w:rsidRPr="00AF1BE3">
        <w:rPr>
          <w:rFonts w:ascii="Times New Roman" w:hAnsi="Times New Roman" w:cs="Times New Roman"/>
          <w:sz w:val="24"/>
          <w:szCs w:val="24"/>
        </w:rPr>
        <w:t xml:space="preserve"> журналистам министр финансов Антон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Силуанов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Он отметил, что при пересмотре в 2020 году кредитных рейтингов стран СНГ 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Fitch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в большинстве случаев принимало решения о понижении рейтинга или ухудшении прогноза по нему.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В июле агентство S&amp;P подтвердило долгосрочный рейтинг России в иностранной валюте на инвестиционном уровне "BBB-" со стабильным прогнозом.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"Уже второе подряд подтверждение суверенного кредитного рейтинга России на инвестиционном уровне от агентств "большой тройки" свидетельствует о совпадении позиций агентств по оценке работы правительства Российской Федерации", - указал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Силуанов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Он напомнил, что в России приняты беспрецедентные меры поддержки граждан и компаний в связи с распространением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. "Принятые меры показали свою эффективность. Удалось избежать стрессового развития ситуации на рынке труда, по мере снятия ограничений наблюдается быстрое восстановление потребительской активности в наиболее пострадавших секторах. В целом падение экономики может оказаться не таким глубоким, а восстановление более динамичным, чем в других странах", - добавил министр.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91424" w:rsidRPr="00F91424" w:rsidRDefault="00F91424" w:rsidP="00F91424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424">
        <w:rPr>
          <w:rFonts w:ascii="Times New Roman" w:hAnsi="Times New Roman" w:cs="Times New Roman"/>
          <w:b/>
          <w:sz w:val="24"/>
          <w:szCs w:val="24"/>
        </w:rPr>
        <w:t>Минпромторг</w:t>
      </w:r>
      <w:proofErr w:type="spellEnd"/>
      <w:r w:rsidRPr="00F91424">
        <w:rPr>
          <w:rFonts w:ascii="Times New Roman" w:hAnsi="Times New Roman" w:cs="Times New Roman"/>
          <w:b/>
          <w:sz w:val="24"/>
          <w:szCs w:val="24"/>
        </w:rPr>
        <w:t xml:space="preserve"> предлагает поддерживать промышленные кластеры, участвующие в нацпроектах</w:t>
      </w:r>
    </w:p>
    <w:p w:rsidR="00B743B1" w:rsidRPr="00AF1BE3" w:rsidRDefault="00F91424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5A61">
          <w:rPr>
            <w:rStyle w:val="a5"/>
            <w:rFonts w:ascii="Times New Roman" w:hAnsi="Times New Roman" w:cs="Times New Roman"/>
            <w:sz w:val="24"/>
            <w:szCs w:val="24"/>
          </w:rPr>
          <w:t>https://tass.ru/ekonomika/9157217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РФ намерено переориентировать систему господдержки промышленных кластеров, сделав критериями ее получения нацеленность на реализацию нацпроектов и экспортного потенциала. Об этом сообщил замглавы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Алексей Беспрозванных в интервью "Российской газете", опубликованном в воскресенье.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"Учитывая все успехи кластерной политики в России, мы все равно понимаем, что настало время менять требования и переходить на новый уровень развития.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 xml:space="preserve">В частности, мы предлагаем переориентировать программы развития кластеров и установить в качестве критерия предоставления господдержки обязательное условие организовать производство продукции или компонентной базы для нацпроектов и экспортного потенциала", - сказал Беспрозванных изданию, добавив, что необходимо провести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приоритезацию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господдержки для кластерных проектов с участием предприятий ОПК и сделать акцент на обязательстве по наращиванию промышленного производства гражданской продукции.</w:t>
      </w:r>
      <w:proofErr w:type="gramEnd"/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Замглавы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также подчеркнул важность перехода от компенсации затрат предприятий промышленных кластеров к поощрению за достижение результатов.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 xml:space="preserve">По его словам, в качестве критериев будут учитываться прирост объемов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промпроизводства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по отношению к размеру субсидии (он должен составлять 5 к 1), а также прирост объемов производственной кооперации с другими участниками кластера по отношению к размеру субсидий (3 к 1) и прирост налоговых отчислений в федеральный бюджет по отношению к размеру субсидии (1,5 к 1).</w:t>
      </w:r>
      <w:proofErr w:type="gramEnd"/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В качестве лидеров по развитию успешных кластеров замминистра промышленности и торговли отметил Татарстан с десятью кластерами, Челябинскую область (7 кластеров), Санкт-Петербург (4 кластера), Ульяновскую область (3 кластера) и </w:t>
      </w:r>
      <w:r w:rsidRPr="00AF1BE3">
        <w:rPr>
          <w:rFonts w:ascii="Times New Roman" w:hAnsi="Times New Roman" w:cs="Times New Roman"/>
          <w:sz w:val="24"/>
          <w:szCs w:val="24"/>
        </w:rPr>
        <w:lastRenderedPageBreak/>
        <w:t>Ставропольский край (2 кластера). По его словам, развитию кластерных структур во многом способствует снижение административных барьеров и разнообразие производственных компетенций в регионах.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AF1BE3">
        <w:rPr>
          <w:rFonts w:ascii="Times New Roman" w:hAnsi="Times New Roman" w:cs="Times New Roman"/>
          <w:sz w:val="24"/>
          <w:szCs w:val="24"/>
        </w:rPr>
        <w:t xml:space="preserve">Также Беспрозванных назвал одним из приоритетов министерства поддержку частных промышленных парков, указав на заинтересованность в появлении большего числа проектов по типу индустриального парка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в Краснодарском крае, которые развивают взаимовыгодное сотрудничество крупного бизнеса с регионами, а также помогают создавать рабочие места для малого и среднего бизнеса и наращивать долю отечественной продукции на рынках.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Замглавы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сообщил о готовности ведомства компенсировать регионам затраты на строительство индустриальных парков и промышленных технопарков за счет налоговых отчислений резидентов этих объектов в федеральный бюджет.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"Схема следующая: частный инвестор строит индустриальный парк и обеспечивает привлечение резидентов. Регион при этом начинает возмещать часть затрат инвестора по созданию парка, либо начинает строить часть внешней инфраструктуры для парка: подъездные дороги, электроподстанцию, внешние линейные объекты. После этого регион может подать заявку в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на получение компенсации затрат по поддержке за счет возврата налоговых и таможенных платежей резидентов в федеральный бюджет. Ему вернут вложенные средства, при этом в регионе появится промышленный объект, предоставляющий новые рабочие места", - пояснил изданию Беспрозванных.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91424" w:rsidRPr="00F91424" w:rsidRDefault="00F91424" w:rsidP="00F91424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91424">
        <w:rPr>
          <w:rFonts w:ascii="Times New Roman" w:hAnsi="Times New Roman" w:cs="Times New Roman"/>
          <w:b/>
          <w:sz w:val="24"/>
          <w:szCs w:val="24"/>
        </w:rPr>
        <w:t>Банки просят изменить правила формирования резервов</w:t>
      </w:r>
    </w:p>
    <w:p w:rsidR="00B743B1" w:rsidRPr="00AF1BE3" w:rsidRDefault="00F91424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5A61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https://www.kommersant.ru/doc/4449343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24" w:rsidRDefault="00F91424" w:rsidP="00F9142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Несмотря на мораторий на банкротства на фоне пандемии, кризис поставил на грань выживания множество компаний. Банкиры опасаются, что в случае массовых банкротств создание резервов может спровоцировать давление на капитал.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Ассоциация банков России (АБР) обратилась к ЦБ с просьбой проработать нормы, позволяющие уменьшать формируемый банками резерв по обеспеченным ссудам, когда в отношении залогодателя начинается процесс банкротства. Изменения предлагается внести в положение Банка России №590-П, которое регулирует порядок формирования резервов на возможные потери по ссудам.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Сейчас наличие залога позволяет банкам уменьшать объем резерва на возможные потери по кредиту, если финансовое положение предоставившего залог оценивается не хуже чем среднее. Однако наличие залога не играет роли, когда к должнику применяются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банкротные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процедуры.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То есть стоимость залога в рамках текущей версии положения №590-П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сводится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к нулю, поясняет вице-президент АБР Алексей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Войлуков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. Такая позиция регулятора, добавляет он, может создать для банков риски и дополнительное давление на капитал, поскольку при банкротствах заемщиков резервы по их кредитам начисляются быстро: «Если отдельные банки в течение двух-шести месяцев столкнутся с тем, что 20% заемщиков (прогнозные оценки с учетом влияния кризиса,— “Ъ”) станут банкротами и банк должен будет покрыть эти кредиты 100-процентными резервами, не нарушить нормативы ЦБ по капиталу будет трудно. Учитывая, что достаточное количество заемщиков может не пережить кризис и обанкротиться, в особенности малый бизнес, вопрос приобретает крайнюю актуальность».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Количество корпоративных банкротств по итогам первого полугодия, наоборот, упало на 26%, причем из них в первом квартале – лишь на 11%, а во втором — почти на 40%. Помимо общей тенденции к снижению числа банкротств, это объясняется ограничениями в работе судов, которые в апреле-мае рассматривали лишь неотложные дела.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В июне суды вернулись к полноценной работе и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банкротные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дела стали рассматриваться активнее, о чем свидетельствует, например, рост числа решений о привлечении к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сусбидиарной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ответственности контролирующих лиц.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На количество банкро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тств вл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>ияет и мораторий, который действует до 4 октября — после этого ожидается резкий рост обращений в суды с заявлениями о банкротстве от кредиторов (должникам мораторий не запрещает подать на свое банкротство).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AF1BE3">
        <w:rPr>
          <w:rFonts w:ascii="Times New Roman" w:hAnsi="Times New Roman" w:cs="Times New Roman"/>
          <w:sz w:val="24"/>
          <w:szCs w:val="24"/>
        </w:rPr>
        <w:t xml:space="preserve">Руководитель службы внутреннего аудита Абсолют-банка Елена Букина на недавнем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Deloitte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отмечала, что финансисты ожидают банкротств 20% предприятий в секторе малого и среднего предпринимательства (МСП) и при наличии обеспечения в виде недвижимости «не хотелось бы как-то искусственно завышать риски».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Решение вопроса позволит не создавать искусственные резервы и не распускать их в дальнейшем, считает госпожа Букина. А также, добавляет господин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Войлуков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, избежать «заражения» банков будущими финансовыми проблемами заемщиков.</w:t>
      </w:r>
    </w:p>
    <w:p w:rsidR="00B743B1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743B1" w:rsidRPr="00AF1BE3" w:rsidRDefault="00F91424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F91424" w:rsidRPr="00F91424" w:rsidRDefault="00F91424" w:rsidP="00F91424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91424">
        <w:rPr>
          <w:rFonts w:ascii="Times New Roman" w:hAnsi="Times New Roman" w:cs="Times New Roman"/>
          <w:b/>
          <w:sz w:val="24"/>
          <w:szCs w:val="24"/>
        </w:rPr>
        <w:t xml:space="preserve">Партия президента </w:t>
      </w:r>
      <w:proofErr w:type="spellStart"/>
      <w:r w:rsidRPr="00F91424">
        <w:rPr>
          <w:rFonts w:ascii="Times New Roman" w:hAnsi="Times New Roman" w:cs="Times New Roman"/>
          <w:b/>
          <w:sz w:val="24"/>
          <w:szCs w:val="24"/>
        </w:rPr>
        <w:t>Faberlic</w:t>
      </w:r>
      <w:proofErr w:type="spellEnd"/>
      <w:r w:rsidRPr="00F91424">
        <w:rPr>
          <w:rFonts w:ascii="Times New Roman" w:hAnsi="Times New Roman" w:cs="Times New Roman"/>
          <w:b/>
          <w:sz w:val="24"/>
          <w:szCs w:val="24"/>
        </w:rPr>
        <w:t xml:space="preserve"> готова слушать советы либеральных экспертов</w:t>
      </w:r>
    </w:p>
    <w:p w:rsidR="00B743B1" w:rsidRPr="00AF1BE3" w:rsidRDefault="00A268ED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B5A61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https://www.kommersant.ru/doc/4449254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В Москве прошел второй съезд партии «Новые люди», созданной по инициативе владельца парфюмерно-косметической компании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Faberlic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Алексея Нечаева. Делегаты избрали создателя партии ее новым председателем и утвердили центральный совет. А главной интригой съезда стали участие в нем ряда известных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фигур и появление среди экспертов партии, имеющей репутацию кремлевского проекта, либеральных политологов.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Субботний форум «Новых людей» в отличие от учредительного съезда был открыт для прессы и больше походил на модную бизнес-презентацию. В неофициальную обстановку органично вписались и сам Алексей Нечаев, и члены партии: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, молодые бизнесмены, учредители НКО.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Напомним, партия «Новые люди» была создана 1 марта 2020 года, а уже через несколько месяцев выдвинула свыше 500 кандидатов на региональные выборы. Ранее источник “Ъ” сообщал, что этот проект обсуждался в администрации президента с прошлого года и новая партия рассчитана на «городской образованный средний класс, на аудиторию 18–30 лет, которую в том числе можно перехватить у протестной улицы».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Мы — партия, которая строится снизу, с земли»,— заявил господин Нечаев и коротко изложил главные принципы: обновление системы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госустройства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и стиля общения с избирателями, прогресс и развитие, доверие и честность.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Причину, по которой директор по развитию сети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Faberlic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Лукиянова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сложила полномочия лидера партии, организаторы не назвали, но это не помешало делегатам единогласно избрать на этот пост господина Нечаева и одобрить составы центрального и экспертного советов. «Мы все новые в этой партии, потому что партия новая. Многие из нас — новые люди в политике. Не быть сегодня новым — это моветон»,— подытожил член центрального совета, основатель движения родителей и учителей «Школа — наше дело» Артем Соловейчик.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Тем временем в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активно обсуждалось прибытие на съезд «партии-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спойлера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» известного либерального политолога Александра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Кынева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. «Я здесь как гость, что в этом плохого? Нечаев — нормальный человек, он пригласил прийти»,— оправдывался он в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. Эксперт сообщил “Ъ”, что прочитал партийцам политологическую лекцию, и назвал «сложным» вопрос о том, являются ли «Новые люди»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спойлером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для оппозиции: «Я бы воспринимал их как канал, через который политики могут выдвигаться. Нужна разная оппозиция — умеренная, радикальная. Чьи голоса партия перетянет? Тех, кого не будет в бюллетене?» Он допустил, что войдет в экспертный совет, если ему предложат.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Другой либеральный политолог Аббас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уже принял такое предложение и объяснил в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, что «к моменту начала большого транзита во властном лагере должны возобладать умеренные», а их союзниками станут умеренные оппозиционеры. В разговоре с “Ъ” он признал, что партия зарегистрирована с позволения Кремля, потому что «нельзя оставить правого избирателя совсем без предложения, иначе он в полном составе уйдет к несистемной оппозиции, на улицу».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Но это не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спойлерская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партия,— заверил эксперт.—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не ставит перед собой задачи побеждать. А партии Нечаева и конкурирующая с ней партия Бориса Титова будут бороться друг с другом именно за победу».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Кроме того, по мнению господина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, Алексей Нечаев в Госдуме станет продвигать те же идеи, что и некоторые внесистемные политики, избрания которых Кремль не допустит.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«Новые люди», как и ряд других партий, появившихся в этом году, созданы скорее для того, чтобы быть «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спойлером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уличной протестной активности», нежели отнимать голоса у других партий на выборах, полагает директор Центра политологических исследований Финансового университета при правительстве Павел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. Правда, сейчас уличная активность купируется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>, а нужного результата на выборах можно достигнуть благодаря многодневному голосованию, напоминает эксперт: «Но проекты уже запущены, есть осваиваемые бюджеты и все идет по инерции. Поэтому в 2020 году эти партии участвуют в выборах в региональные парламенты, чтобы получить там места и уже без сбора подписей участвовать в выборах в Госдуму в 2021 году».</w:t>
      </w:r>
    </w:p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743B1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268ED" w:rsidRPr="008825F3" w:rsidRDefault="00A268ED" w:rsidP="00A268ED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8825F3">
        <w:rPr>
          <w:rFonts w:ascii="Times New Roman" w:hAnsi="Times New Roman" w:cs="Times New Roman"/>
          <w:b/>
          <w:sz w:val="24"/>
          <w:szCs w:val="24"/>
        </w:rPr>
        <w:t xml:space="preserve">Основатель партии «Новые люди» Алексей Нечаев — об </w:t>
      </w:r>
      <w:proofErr w:type="gramStart"/>
      <w:r w:rsidRPr="008825F3">
        <w:rPr>
          <w:rFonts w:ascii="Times New Roman" w:hAnsi="Times New Roman" w:cs="Times New Roman"/>
          <w:b/>
          <w:sz w:val="24"/>
          <w:szCs w:val="24"/>
        </w:rPr>
        <w:t>инициативе</w:t>
      </w:r>
      <w:proofErr w:type="gramEnd"/>
      <w:r w:rsidRPr="008825F3">
        <w:rPr>
          <w:rFonts w:ascii="Times New Roman" w:hAnsi="Times New Roman" w:cs="Times New Roman"/>
          <w:b/>
          <w:sz w:val="24"/>
          <w:szCs w:val="24"/>
        </w:rPr>
        <w:t xml:space="preserve"> о передаче конфискованных денег в ПФР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B5A61">
          <w:rPr>
            <w:rStyle w:val="a5"/>
            <w:rFonts w:ascii="Times New Roman" w:hAnsi="Times New Roman" w:cs="Times New Roman"/>
            <w:sz w:val="24"/>
            <w:szCs w:val="24"/>
          </w:rPr>
          <w:t>https://iz.ru/1043694/aleksei-nechaev/liudi-eto-ne-novaia-neft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Бывают ошибки, которые хуже преступления. Инициатива Минфина из этой серии. Безработица в стране растет, рубль падает, бизнес буксует. В этих условиях залезать людям в карман — опасная ошибка. Обещание передавать конфискованные деньги в Пенсионный фонд — это сказка в пользу бедных. Дыру в ПФР эти деньги не закроют и накопительную часть пенсии не разморозят. А вот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закошмарить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людей эта инициатива может легко.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Формально Минфин предлагает внести поправки в статьи 46 и 146 Бюджетного кодекса РФ. Их смы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сл в сл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едующем. Сейчас в ПФР отправляются деньги, вырученные от продажи имущества, которое куплено на недоказанные доходы. В 2019 году это было 21,4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рублей. В этом году Генпрокуратура обещает в два раза больше. Но одно дело изымать имущество, и совсем другое — изымать деньги. Деньги искать легче. А Минфин теперь предлагает искать именно их.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Банковская тайна в России — понятие условное. О ваших счетах могут узнать суды, правоохранители, налоговики, ПФР и Соцстрах. Если кто-то из них решит, что ваши деньги связаны с коррупцией, то они уже не ваши.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Допустим, вы продали свою машину или квартиру чиновнику или его родственнику. А если следователи посчитали, что продали слишком дешево или, наоборот, слишком дорого? Согласно поправкам Минфина, это будет поводом, чтобы признать сделку коррупционной. И отобрать у вас деньги. Такое развитие событий вполне возможно.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К чему может привести принятие этих поправок?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Обладатели крупных накоплений будут выводить деньги за рубеж. Открыть счет в зарубежном банке несложно. Чтобы подтвердить легальность денег, подойдут договор о продаже недвижимости, документы об имеющемся бизнесе и даже справка из российского банка.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Те, кому есть, что скрывать, воспользуются давно известными схемами: от офшоров до брокерских счетов. Продвинутые граждане станут хранить деньги в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криптовалютах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и зарубежных ценных бумагах.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Конечно, можно воспользоваться банковской ячейкой. Но это не самый надежный способ.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Историй с кражей денег из банковских ячеек довольно много. Доказать факт кражи можно, только заключив с банком договор ответственного хранения. А при заключении такого договора необходимо составить опись того, что вы храните в ячейке. Этот договор банки обязаны по запросу предоставлять силовикам. Если силовики что-то заподозрят, то конфискация станет реальностью. Право вскрывать ячейки имеют судебные исполнители.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Средний размер вкладов в России — 200 тыс. рублей. Такие вклады большая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часть людей просто вынет из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банка и спрячет под матрас. Возможно, поменяв рубли на доллары.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Совокупный объем вкладов составлял на начало текущего года более 30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рублей. Это данные Центробанка. Дефицит ПФР в этом году прогнозируется в 209,2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рублей. Соблазн залатать дыру за счет граждан очень велик. Кроме этого, у поправок Минфина есть и политическая сторона.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Партия ренты, которая сейчас у руля, по сути, берет на вооружение лозунг: «Люди — это наша новая нефть». Запасы нефти и газа в стране рано или поздно подойдут к концу. Их уже стало меньше. Легкая нефть заканчивается. Тот же </w:t>
      </w:r>
      <w:proofErr w:type="spellStart"/>
      <w:r w:rsidRPr="00AF1BE3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AF1BE3">
        <w:rPr>
          <w:rFonts w:ascii="Times New Roman" w:hAnsi="Times New Roman" w:cs="Times New Roman"/>
          <w:sz w:val="24"/>
          <w:szCs w:val="24"/>
        </w:rPr>
        <w:t xml:space="preserve"> вычерпан уже на 85%.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Поэтому государство уже думает о том, как жить за счет граждан, а не природных ресурсов. В принципе, в этом ничего криминального нет. Любое государство старается получить от своих граждан денег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>. Но это можно делать, лишь давая гражданам возможность хорошо зарабатывать, становиться богаче. Поправки Минфина дают людям противоположный сигнал. Развиваться и зарабатывать больше — опасно. Ваши деньги станут объектом охоты. И вам придется либо спрятаться, либо убежать. Это реакция на опасность. Зато в глазах партии ренты — это стабильность.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Государства в нашей жизни становится всё больше. А свободы и возможностей для развития всё меньше. Запреты и репрессии могут окончательно убить желание людей быть честным с государством.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Вместе с тем есть два простых способа решения ситуации. Для борьбы с коррупцией не надо изобретать минфиновский велосипед. Достаточно ратифицировать статью 20 Конвенц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>Н против коррупции. Эта статья гласит, что «незаконное обогащение — это значительное увеличение активов публичного должностного лица, превышающее его законные доходы, которое оно не может разумным образом обосновать». То есть речь идет о госслужащих и политиках. На мой взгляд, это справедливо. Люди, живущие на деньги налогоплательщиков, обязаны доказывать обществу, что тратят эти деньги бережно и не запускают руку в закрома родины. А вот всех остальных граждан запихивать в эту антикоррупционную мясорубку не нужно. С мошенниками и неплательщиками могут разбираться силовики и налоговики в обычном режиме.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>Интересно, что Россия в целом ратифицировала Конвенцию ООН против коррупции 8 марта 2006 года. Но именно статью 20 так и не ратифицировала. Забывчивость подвела?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AF1BE3">
        <w:rPr>
          <w:rFonts w:ascii="Times New Roman" w:hAnsi="Times New Roman" w:cs="Times New Roman"/>
          <w:sz w:val="24"/>
          <w:szCs w:val="24"/>
        </w:rPr>
        <w:t xml:space="preserve">Что касается дыры в бюджете ПФР, то самое время вспомнить, что наше государство само не очень умеет тратить деньги. Каждый год в России выделяются сотни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миллиардов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и даже триллионы рублей на национальные проекты.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Значительна часть этих денег не осваивается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. В прошлом году чиновники не смогли потратить более 1 </w:t>
      </w:r>
      <w:proofErr w:type="gramStart"/>
      <w:r w:rsidRPr="00AF1BE3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AF1BE3">
        <w:rPr>
          <w:rFonts w:ascii="Times New Roman" w:hAnsi="Times New Roman" w:cs="Times New Roman"/>
          <w:sz w:val="24"/>
          <w:szCs w:val="24"/>
        </w:rPr>
        <w:t xml:space="preserve"> рублей. Эти деньги не работают. Они лежат в казне мертвым грузом и будут лежать там дальше. Есть логика в том, чтобы перевести их в Пенсионный фонд и раздать пожилым людям. Тем, кто в них реально нуждается. А не интересоваться всё больше деньгами простых граждан. Фактически уже прощупывая их карманы.</w:t>
      </w: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A268ED" w:rsidRPr="00AF1BE3" w:rsidRDefault="00A268ED" w:rsidP="00A268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743B1" w:rsidRPr="00AF1BE3" w:rsidRDefault="00A268ED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bookmarkEnd w:id="0"/>
    <w:p w:rsidR="00B743B1" w:rsidRPr="00AF1BE3" w:rsidRDefault="00B743B1" w:rsidP="00B743B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B743B1" w:rsidRPr="00AF1BE3" w:rsidSect="006226B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5"/>
    <w:rsid w:val="00072E8D"/>
    <w:rsid w:val="000E68C1"/>
    <w:rsid w:val="00127635"/>
    <w:rsid w:val="0032280F"/>
    <w:rsid w:val="00351DDF"/>
    <w:rsid w:val="004E354C"/>
    <w:rsid w:val="00553465"/>
    <w:rsid w:val="007B7DEC"/>
    <w:rsid w:val="008825F3"/>
    <w:rsid w:val="009E3DC0"/>
    <w:rsid w:val="00A268ED"/>
    <w:rsid w:val="00AF1BE3"/>
    <w:rsid w:val="00B743B1"/>
    <w:rsid w:val="00D719D4"/>
    <w:rsid w:val="00E85FAE"/>
    <w:rsid w:val="00F332FF"/>
    <w:rsid w:val="00F91424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26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26B4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88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26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26B4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88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449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44493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s.ru/ekonomika/91572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a.ru/20200807/157551419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.ru/1043694/aleksei-nechaev/liudi-eto-ne-novaia-ne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Васильев Сергей</cp:lastModifiedBy>
  <cp:revision>3</cp:revision>
  <dcterms:created xsi:type="dcterms:W3CDTF">2020-08-10T07:39:00Z</dcterms:created>
  <dcterms:modified xsi:type="dcterms:W3CDTF">2020-08-10T08:02:00Z</dcterms:modified>
</cp:coreProperties>
</file>