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C" w:rsidRPr="00971DDC" w:rsidRDefault="00971DDC" w:rsidP="00971DD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971DDC">
        <w:rPr>
          <w:rFonts w:ascii="Times New Roman" w:hAnsi="Times New Roman" w:cs="Times New Roman"/>
          <w:b/>
          <w:sz w:val="24"/>
          <w:szCs w:val="24"/>
        </w:rPr>
        <w:t>В Госдуме предложили доплачивать северные надбавки работающим удаленно россиянам</w:t>
      </w:r>
    </w:p>
    <w:p w:rsidR="00121270" w:rsidRPr="00220872" w:rsidRDefault="00971DDC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https://www.gazeta.ru/business/2020/08/10/13188607.shtml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DC" w:rsidRPr="00220872" w:rsidRDefault="00971DDC" w:rsidP="00971DD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В июне спикер Госдумы Вячеслав Володин вместе со спикером Совета Федерации Валентиной Матвиенко и группой сенаторов и депутатов внесли в нижнюю палату российского парламента законопроект о регулировании удаленной работы.</w:t>
      </w:r>
    </w:p>
    <w:p w:rsidR="00971DDC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В </w:t>
      </w:r>
      <w:r w:rsidR="00971DDC">
        <w:rPr>
          <w:rFonts w:ascii="Times New Roman" w:hAnsi="Times New Roman" w:cs="Times New Roman"/>
          <w:sz w:val="24"/>
          <w:szCs w:val="24"/>
        </w:rPr>
        <w:t>него</w:t>
      </w:r>
      <w:r w:rsidRPr="00220872">
        <w:rPr>
          <w:rFonts w:ascii="Times New Roman" w:hAnsi="Times New Roman" w:cs="Times New Roman"/>
          <w:sz w:val="24"/>
          <w:szCs w:val="24"/>
        </w:rPr>
        <w:t xml:space="preserve"> могут включить положение о выплате северных надбавок работникам на «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». Рассмотреть такую возможность рекомендовала рабочей группе Государственная дума. 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Сумма северной надбавки считается по формуле, зависящей от коэффициента в определенном регионе. Больше всего денег «за Север» получают сотрудники на Чукотке, в ряде районов Якутии, на Курилах и Командорских островах. Есть также надбавки за стаж работы в северных областях России.</w:t>
      </w:r>
    </w:p>
    <w:p w:rsidR="00121270" w:rsidRPr="00220872" w:rsidRDefault="00971DDC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Член рабочей группы, вице-президент Российского союза промышленников и предпринимателей (РСПП) Федор Прокопов</w:t>
      </w:r>
      <w:r w:rsidR="00121270" w:rsidRPr="00220872">
        <w:rPr>
          <w:rFonts w:ascii="Times New Roman" w:hAnsi="Times New Roman" w:cs="Times New Roman"/>
          <w:sz w:val="24"/>
          <w:szCs w:val="24"/>
        </w:rPr>
        <w:t xml:space="preserve"> отметил, что сейчас вопрос о выплате сотрудникам на </w:t>
      </w:r>
      <w:proofErr w:type="spellStart"/>
      <w:r w:rsidR="00121270" w:rsidRPr="00220872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="00121270" w:rsidRPr="00220872">
        <w:rPr>
          <w:rFonts w:ascii="Times New Roman" w:hAnsi="Times New Roman" w:cs="Times New Roman"/>
          <w:sz w:val="24"/>
          <w:szCs w:val="24"/>
        </w:rPr>
        <w:t xml:space="preserve"> северных надбавок в законодательстве и законопроекте не урегулирован.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«Предстоит понять, как доплачивать — по месту нахождения компании или по месту, где трудится удаленный сотрудник. Допустим, если компания в Норильске, а удаленный сотрудник в Сочи, положена ли ему северная доплата?» – заявил вице-президент РСПП.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В то же время юрист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юридической компании «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Ильяшев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и партнеры» Максимилиан Гришин заявил, что положения Трудового кодекса о районных коэффициентах применяются к работодателю.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 xml:space="preserve">Компании с Севера обычно устраивают своих работников из других областей в местные филиалы – иначе зарегистрированное в Мурманской области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будет платить северную надбавку работнику из Крыма.</w:t>
      </w:r>
      <w:proofErr w:type="gramEnd"/>
    </w:p>
    <w:p w:rsidR="00121270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971DDC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971DDC" w:rsidRPr="00971DDC" w:rsidRDefault="00971DDC" w:rsidP="00971DD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971DDC">
        <w:rPr>
          <w:rFonts w:ascii="Times New Roman" w:hAnsi="Times New Roman" w:cs="Times New Roman"/>
          <w:b/>
          <w:sz w:val="24"/>
          <w:szCs w:val="24"/>
        </w:rPr>
        <w:t>Эксперты заявили об угрозе дефляции и замедления роста ВВП в России</w:t>
      </w:r>
    </w:p>
    <w:p w:rsidR="00121270" w:rsidRPr="00220872" w:rsidRDefault="00971DDC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https://www.gazeta.ru/business/2020/08/07/13185259.shtml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Сразу два ведомства — Минэкономразвития и Счетная палата РФ — обратили внимание на замедление роста цен в июле и прогнозируют «холодный август» с точки зрения макроэкономических показателей.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Минэкономразвития ожидает дефляцию (от латинского «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deflation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» — «сдуваться») уже в августе. Она может составить 0,1% или даже 0,2% месяц к месяцу. О снижении цен на товары и услуги говорится в докладе «Картина инфляции за июль 2020 года», подготовленном министерством.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Но на непродовольственные товары цены продолжат расти, прогнозирует Минэкономразвития. В июле они подросли на 0,3%, а в июне на 0,4%.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Стоимость услуг (в первую очередь гостиничных и санаторно-оздоровительных, транспортных) тоже растет.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«В июле ожидаемо возобновился летний рост цен на услуги организаций образования и культуры после нескольких месяцев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околонулевой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либо отрицательной динамики», — говорится также в обзоре.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Вклад в рост цен на услуги в июле также внесла плановая индексация тарифов с 1 июля. В годовом выражении рост цен на коммунальные услуги населению составил 3,1%.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В подготовленном департаментом аудита экономического развития Счетной палаты РФ мониторинге фиксируется, как минимум, стабилизация цен. «На неделе с 28 июля по 3 августа вновь была зафиксирована нулевая инфляция, однако среднесуточный прирост цен за первые три дня августа был отрицательный», — говорится в мониторинге.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lastRenderedPageBreak/>
        <w:t>«Во втором полугодии сдерживающее влияние на потребительские цены будет оказывать не только сезонный фактор, действие которого в зависимости от погодных условий может продлиться вплоть до октября, но и слабый внутренний спрос», — прогнозирует Счетная палата.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Центробанк также говорит о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дезинфляционном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давлении из-за низкого спроса на продукцию. В своем июльском прогнозе ЦБ скорректировал уровень инфляции по итогам 2020 года в меньшую сторону — до 3,7-4,2%. В апрельском прогнозе не исключался рост цен по итогам года до 4,8%.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Минэкономразвития также понизило прогноз по инфляции в России на 2020 год — до 3,5% с 4%.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Иными словами, цены все-таки будут расти, но темп замедлится, ценники будут «сдуваться» только на некоторые продовольственные товары.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Дефляция возникала также в 2017 и 2019 годах и была связана в основном сезонными факторами. Но в этот раз против дефляции играет ЦБ, который вынужден был смягчать денежно-кредитную политику, дважды опускать ключевую ставку, а также видит возможность для дальнейшего понижения.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Кроме того, монетарные власти не могут допустить значительной и долгосрочной дефляции, поскольку, как показывает опыт развитых экономик, именно дефляция становится основным тормозом экономики, подавляя потребительский спрос, отмечают опрошенные «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Газетой.Ru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» эксперты.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Дефляция хороша для конечных потребителей, но вредна для экономического роста. Если цены на товары и услуги перестают расти или снижаются, экономика попадает в так называемую дефляционную ловушку. В условиях дефляции домохозяйства и бизнес будут стремиться снижать свои расходы в надежде, что в будущем они купят ресурсы еще дешевле. Из-за того что люди стремятся сберегать и меньше тратить, падает спрос и сокращается производство, страдает бизнес и экономика страны в целом.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Снижения цен на непродовольственные товары ждать не стоит, кроме регулярных распродаж, отмечает главный экономист ПФ «Капитал» Евгений 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. «Для дефляции причин не вижу. Даже, если она будет, что мне неочевидно, то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все-равно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дешевый рубль и менее обильный урожай этого года дефляции способствовать не будут», — прогнозирует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Еще категоричнее высказывается шеф-аналитик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TeleTrade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Пётр Пушкарёв, который полагает, что российская дефляция — по большей части фикция.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«Все про нее читали, а многие и писали, но никто так и не смог ее увидеть и потрогать руками. Есть традиционная для августа ситуация, когда дешевеет сильно, в основном, лишь только плодоовощная продукция - причем та самая, которая до этого с весны активно дорожала», — иронизирует Пушкарев.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Частичный или даже полный возврат цен на овощи и фрукты на продуктовых рынках и в магазинах на круги своя и преподносится торжественно почти каждый год как повод говорить о якобы общем снижении цен на считанные доли процента, после чего до Нового года ценники на всё остальное обязательно подрастут, считает Пушкарев.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Не та корзина у Росстата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220872">
        <w:rPr>
          <w:rFonts w:ascii="Times New Roman" w:hAnsi="Times New Roman" w:cs="Times New Roman"/>
          <w:sz w:val="24"/>
          <w:szCs w:val="24"/>
        </w:rPr>
        <w:t>«Наверняка так же будет и к концу этого года, тем более что уже подняты официально на 3% оптовые тарифы на газ, да и производителям бензина правительство, видимо, позволит снова, как минимум на небольшой процент «проиндексировать» свои доходы на внутреннем рынке, раз уж их не получилось взять во время пандемии по экспорту из-за обвала внешних цен», — говорит эксперт.</w:t>
      </w:r>
      <w:proofErr w:type="gramEnd"/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По его мнению, на практике рост цен в лучшем случае замедлится до 1,5-2%, но только лишь в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росстатовских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замерах, «с использованием оторванной от жизни и абсолютно условной «потребительской корзины» по срезу такого товарного ассортимента, который мало кто покупает».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Пушкарев согласен лишь с тем, что в этом году цены не будут поднимать ни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ритейлеры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производители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потому что россияне вынуждены на всем экономить.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«Но не стоит забывать, что для руководства компаний, для бизнеса отсутствие инфляции – это четкий индикатор подавленного спроса, заставляющий сужать производство и не дающий платить более высокие зарплаты работникам. В итоге круг замыкается, и виной тому кризис, который ни правительство, ни ЦБ так и не решилось по-настоящему залить деньгами», — отмечает эксперт.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Он считает, что власти могли бы раздать предприятиям часть собранных в прошлом году с них же налогов, а для населения обнулили бы НДФЛ хотя бы на зарплаты до медианного уровня в 35 тысяч рублей. Только в этом случае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появился бы потребительский спрос и кризис можно было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бы преодолеть намного быстрее. «Это уже происходит в ЕС, но не у нас», — заключает Пушкарев.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Текущая дефляция не будет иметь масштабного формата, согласен экономист «БКС Премьер» Антон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Покатович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. По его прогнозу, в конце третьего — начале четвертого квартала инфляция вернется к умеренному росту. «По итогам года инфляция может сформироваться вблизи уровней 3,7-4,2%», — считает эксперт.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304A4A" w:rsidRPr="00304A4A" w:rsidRDefault="00304A4A" w:rsidP="00304A4A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04A4A">
        <w:rPr>
          <w:rFonts w:ascii="Times New Roman" w:hAnsi="Times New Roman" w:cs="Times New Roman"/>
          <w:b/>
          <w:sz w:val="24"/>
          <w:szCs w:val="24"/>
        </w:rPr>
        <w:t>В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 79 регионах России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4A">
        <w:rPr>
          <w:rFonts w:ascii="Times New Roman" w:hAnsi="Times New Roman" w:cs="Times New Roman"/>
          <w:b/>
          <w:sz w:val="24"/>
          <w:szCs w:val="24"/>
        </w:rPr>
        <w:t>будут созданы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временные рабочие места для граждан, потерявших работу или находящихся под риском увольнения </w:t>
      </w:r>
    </w:p>
    <w:p w:rsidR="00121270" w:rsidRPr="00220872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https://rg.ru/2020/08/11/vremennye-rabochie-mesta-pomogut-obespechit-zaniatost-v-79-regionah.html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70" w:rsidRPr="00220872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Минтруда, с</w:t>
      </w:r>
      <w:r w:rsidR="00121270" w:rsidRPr="00220872">
        <w:rPr>
          <w:rFonts w:ascii="Times New Roman" w:hAnsi="Times New Roman" w:cs="Times New Roman"/>
          <w:sz w:val="24"/>
          <w:szCs w:val="24"/>
        </w:rPr>
        <w:t xml:space="preserve">ейчас региональные власти заняты поиском подходящих вакансий для временной занятости и заключением договоров с работодателями. При включении в программу компании смогут получить компенсации части расходов на выплату зарплату временным работникам. Всего правительство выделило на эти цели 4 </w:t>
      </w:r>
      <w:proofErr w:type="gramStart"/>
      <w:r w:rsidR="00121270" w:rsidRPr="0022087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21270" w:rsidRPr="00220872">
        <w:rPr>
          <w:rFonts w:ascii="Times New Roman" w:hAnsi="Times New Roman" w:cs="Times New Roman"/>
          <w:sz w:val="24"/>
          <w:szCs w:val="24"/>
        </w:rPr>
        <w:t xml:space="preserve"> рублей из резервного фонда.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По данным Минтруда, наибольший объем субсидий предоставлен Свердловской и Ростовской областям, республикам Татарстан и Башкортостан, Пермскому и Краснодарскому краям. Контролировать расходование этих денег будет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По условиям программы перечень временных рабочих мест и общественных работ формируют органы исполнительной власти региона России, а также органы местного самоуправления, исходя из своих потребностей и специфики региона. Центры занятости населения на местах заключают соглашения с работодателями и направляют к ним граждан, нуждающихся в источниках заработка. Как уточнили в Минтруде, временная занятость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на может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продолжаться больше трех месяцев.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"Заработную плату устанавливает работодатель в соответствии с законодательством Российской Федерации, - добавили в Минтруде. - При этом за счет предоставляемых субсидий компенсируются затраты в объеме минимального размера оплаты труда, увеличенного на сумму страховых взносов в государственные внебюджетные фонды и районный коэффициент. Безработные граждане, занятые на общественных работах, могут продолжать получать пособие по безработице".</w:t>
      </w:r>
    </w:p>
    <w:p w:rsidR="00121270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304A4A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304A4A" w:rsidRDefault="00304A4A" w:rsidP="00121270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04A4A">
        <w:rPr>
          <w:rFonts w:ascii="Times New Roman" w:hAnsi="Times New Roman" w:cs="Times New Roman"/>
          <w:b/>
          <w:sz w:val="24"/>
          <w:szCs w:val="24"/>
        </w:rPr>
        <w:t>Счетная палата раскритиковала объем имущественной поддержки субъектов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МСП, 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которую </w:t>
      </w:r>
      <w:r w:rsidRPr="00304A4A">
        <w:rPr>
          <w:rFonts w:ascii="Times New Roman" w:hAnsi="Times New Roman" w:cs="Times New Roman"/>
          <w:b/>
          <w:sz w:val="24"/>
          <w:szCs w:val="24"/>
        </w:rPr>
        <w:t>предоставляе</w:t>
      </w:r>
      <w:r w:rsidRPr="00304A4A">
        <w:rPr>
          <w:rFonts w:ascii="Times New Roman" w:hAnsi="Times New Roman" w:cs="Times New Roman"/>
          <w:b/>
          <w:sz w:val="24"/>
          <w:szCs w:val="24"/>
        </w:rPr>
        <w:t>т</w:t>
      </w:r>
      <w:r w:rsidRPr="00304A4A">
        <w:rPr>
          <w:rFonts w:ascii="Times New Roman" w:hAnsi="Times New Roman" w:cs="Times New Roman"/>
          <w:b/>
          <w:sz w:val="24"/>
          <w:szCs w:val="24"/>
        </w:rPr>
        <w:t xml:space="preserve"> Корпорация МСП</w:t>
      </w:r>
    </w:p>
    <w:p w:rsidR="00121270" w:rsidRPr="00220872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https://rg.ru/2020/08/11/sp-raskritikovala-korporaciiu-msp-za-otsutstvie-dolgosrochnoj-programmy-razvitiia.html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Такие выводы сделаны по итогам первого этапа масштабной проверки деятельности корпорации, которую провели аудиторы СП. Речь идет о выполнении среднесрочной программы за 2016-2018 гг.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Имущественная поддержка корпорации заключается в предоставлении консультационных и информационных услуг бизнесу. Однако функциями оператора государственного или муниципального имущества эта структура не наделена. "Действительно, мы не являемся собственниками имущества, но у нас есть информация по всем четырем уровням собственности, которую мы собираем во взаимодействии с субъектами Российской Федерации и муниципалитетами. Мы предоставляем возможность субъектам Российской Федерации воспользоваться этим имуществом и сопровождаем, соответственно, сам процесс пользования", - прокомментировал генеральный директор - председатель правления АО "Корпорация МСП" Александр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Браверман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В числе недостатков аудиторы СП также назвали отсутствие долгосрочной программы развития. "Это не позволяет в полной мере обеспечить заинтересованность Корпорации в достижении основных приоритетов, целей и задач, предусмотренных документами стратегического планирования Российской Федерации в сфере развития МСП", - отмечает аудитор Счетной палаты Данил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Шилков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Проверка показала, что все целевые показатели среднесрочной программы деятельности Корпорации на 2016-2018 годы выполнены. Однако и здесь аудиторы выявили ряд проблемных моментов. К примеру, показатель "Число уникальных пользователей сервисов портала "Бизнес-навигатор МСП" не раскрывает эффект от оказанной поддержки, а дает только статистику пользования функционалом ресурса. Кроме того, методики расчета части показателей в полной мере не соответствуют их наименованиям. Так, показатель "Среднегодовой прирост доли закупок у субъектов МСП" должен отражать рост доли закупок у субъектов МСП в 2016-2018 гг. "Однако на деле он показывает среднее за три года превышение доли закупок конкретных заказчиков у субъектов МСП над установленным нормативом", - пояснил аудитор.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Аналогичная ситуация с показателем "Доля субъектов МСП, использующих механизм получения услуг по принципу "одного окна", в том числе на базе МФЦ и в электронной форме через порталы услуг и портал бизнес-навигатора МСП". Он также не отражает долю субъектов МСП, которые воспользовались услугами Корпорации.</w:t>
      </w:r>
    </w:p>
    <w:p w:rsidR="00121270" w:rsidRPr="00220872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1270" w:rsidRPr="00220872">
        <w:rPr>
          <w:rFonts w:ascii="Times New Roman" w:hAnsi="Times New Roman" w:cs="Times New Roman"/>
          <w:sz w:val="24"/>
          <w:szCs w:val="24"/>
        </w:rPr>
        <w:t xml:space="preserve"> корпорации с выводами СП согласны. Теперь предстоит работа по устранению выявленных недочетов.</w:t>
      </w:r>
    </w:p>
    <w:p w:rsidR="00121270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304A4A" w:rsidRPr="00304A4A" w:rsidRDefault="00304A4A" w:rsidP="00304A4A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A4A">
        <w:rPr>
          <w:rFonts w:ascii="Times New Roman" w:hAnsi="Times New Roman" w:cs="Times New Roman"/>
          <w:b/>
          <w:sz w:val="24"/>
          <w:szCs w:val="24"/>
        </w:rPr>
        <w:t>Минтруд разрабатывает проект об увеличении пособий для детей из малоимущих семей</w:t>
      </w:r>
    </w:p>
    <w:p w:rsidR="00121270" w:rsidRPr="00220872" w:rsidRDefault="00304A4A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https://tass.ru/ekonomika/9171009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4A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РФ разрабатывает проект об увеличении с 1 января 2021 года размера выплат семьям, среднедушевой доход которых не достигает величины регионального прожиточного минимума при текущем размере пособий. 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"С учетом того, что в ряде случаев выплата ежемесячного пособия в размере половины прожиточного минимума на ребенка в возрасте от трех до семи лет не позволяет довести среднедушевой доход семьи до уровня прожиточного минимума, Минтруд считает целесообразным дифференциацию размеров пособия в 2021 году. Соответствующий проект нормативно-правового акта разрабатывается. Совместно с регионами проводятся расчеты количества семей, нуждающихся в выплате увеличенных пособий", - сообщили в министерстве.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Кроме того, в Минтруде подчеркнули, что прорабатывается возможность увеличения размера выплаты до 100% прожиточного минимума на ребенка для тех семей, которым текущий размер пособия не позволяет довести среднедушевой доход до уровня прожиточного минимума.</w:t>
      </w:r>
    </w:p>
    <w:p w:rsidR="00121270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21270" w:rsidRPr="00220872" w:rsidRDefault="00AF370B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F370B" w:rsidRPr="00AF370B" w:rsidRDefault="00AF370B" w:rsidP="00AF370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F370B">
        <w:rPr>
          <w:rFonts w:ascii="Times New Roman" w:hAnsi="Times New Roman" w:cs="Times New Roman"/>
          <w:b/>
          <w:sz w:val="24"/>
          <w:szCs w:val="24"/>
        </w:rPr>
        <w:t>Банк России решил сохранить до конца года ряд послаблений для граждан, бизнеса и банков, введенных до осени в связи с пандемией, а также ввести новые</w:t>
      </w:r>
    </w:p>
    <w:p w:rsidR="00121270" w:rsidRPr="00220872" w:rsidRDefault="00AF370B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https://www.kommersant.ru/doc/4449946?from=main_3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0B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ЦБ 10 августа объявил о продлении до 31 декабря ряда введенных весной регуляторных послаблений, исходно действовавших до 30 сентября, а также о «реализации новых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контрциклических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мер поддержки экономики». 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«Выход из послаблений не должен быть резким, чтобы банки и другие финансовые организации смогли адаптироваться и не были вынуждены сокращать кредитование экономики»,— объяснили в Банке России. В то же время, подчеркнули в ЦБ, необходимо постепенное сворачивание мер, поскольку только «корректная оценка рисков может обеспечить долгосрочную устойчивость финансового сектора».</w:t>
      </w:r>
    </w:p>
    <w:p w:rsidR="00121270" w:rsidRPr="00220872" w:rsidRDefault="00AF370B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</w:t>
      </w:r>
      <w:r w:rsidR="00121270" w:rsidRPr="00220872">
        <w:rPr>
          <w:rFonts w:ascii="Times New Roman" w:hAnsi="Times New Roman" w:cs="Times New Roman"/>
          <w:sz w:val="24"/>
          <w:szCs w:val="24"/>
        </w:rPr>
        <w:t xml:space="preserve"> мера поддержки,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121270" w:rsidRPr="00220872">
        <w:rPr>
          <w:rFonts w:ascii="Times New Roman" w:hAnsi="Times New Roman" w:cs="Times New Roman"/>
          <w:sz w:val="24"/>
          <w:szCs w:val="24"/>
        </w:rPr>
        <w:t>государственные кредитные каникулы,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70" w:rsidRPr="00220872">
        <w:rPr>
          <w:rFonts w:ascii="Times New Roman" w:hAnsi="Times New Roman" w:cs="Times New Roman"/>
          <w:sz w:val="24"/>
          <w:szCs w:val="24"/>
        </w:rPr>
        <w:t xml:space="preserve">продлена не будет. Вместо этого ЦБ рекомендует банкам и МФО до 31 декабря продолжать реструктурировать кредиты (займы) граждан, столкнувшихся с существенным сокращением доходов и (или) заболевших </w:t>
      </w:r>
      <w:proofErr w:type="spellStart"/>
      <w:r w:rsidR="00121270" w:rsidRPr="0022087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21270" w:rsidRPr="00220872">
        <w:rPr>
          <w:rFonts w:ascii="Times New Roman" w:hAnsi="Times New Roman" w:cs="Times New Roman"/>
          <w:sz w:val="24"/>
          <w:szCs w:val="24"/>
        </w:rPr>
        <w:t xml:space="preserve"> инфекцией, в рамках собственных программ.</w:t>
      </w:r>
    </w:p>
    <w:p w:rsidR="00AF370B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Кроме того, им рекомендовано не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назначать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пени и штрафы по реструктурированным кредитам, приостановить процедуры принудительного выселения должников из жилых помещений, на которые было обращено взыскание, а также не обращать взыскание на недвижимое имущество, являющееся обеспечением по требованиям. </w:t>
      </w:r>
    </w:p>
    <w:p w:rsidR="00121270" w:rsidRPr="00220872" w:rsidRDefault="00121270" w:rsidP="00AF370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Из новых мер регулятор фактически впервые анонсировал поддержку необеспеченного розничного кредитования.</w:t>
      </w:r>
      <w:r w:rsidR="00AF370B">
        <w:rPr>
          <w:rFonts w:ascii="Times New Roman" w:hAnsi="Times New Roman" w:cs="Times New Roman"/>
          <w:sz w:val="24"/>
          <w:szCs w:val="24"/>
        </w:rPr>
        <w:t xml:space="preserve"> Отменяются повышенные надбавки по резервированию для </w:t>
      </w:r>
      <w:r w:rsidRPr="00220872">
        <w:rPr>
          <w:rFonts w:ascii="Times New Roman" w:hAnsi="Times New Roman" w:cs="Times New Roman"/>
          <w:sz w:val="24"/>
          <w:szCs w:val="24"/>
        </w:rPr>
        <w:t>новых кредитов, выдаваемых с 1 сентября.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По данным ЦБ, с 20 марта по 29 июля в адрес кредитных организаций от заемщиков поступило 2,5 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обращений об изменении условий кредитных договоров. Реструктурированы кредиты в целом на 697 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руб. Доля заявок на кредитные каникулы по новому механизму в рамках 106-ФЗ составила 14,8%, реструктурированы кредиты на сумму более 95 млрд руб.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«Предложения ЦБ — лишь инициативы, которые помогут малой части россиян.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 xml:space="preserve">Тем более что и доказать документально падение доходов зачастую очень сложно: работодатели переводят сотрудников на сокращенный рабочий день, снижают премиальные выплаты, а не зарплаты, и т. д. Не все клиенты банков, кто оказался в сложной ситуации из-за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, смогут обосновать это в финансовых организациях»,— считает главный аналитик ГК «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Алор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» Алексей Антонов.</w:t>
      </w:r>
      <w:proofErr w:type="gramEnd"/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По мнению эксперта, перечень рекомендаций выглядит «скорее базовым, чем полным, защищающим должников в достаточной мере».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Давая рекомендации банкам по поддержке граждан, ЦБ делает и шаги навстречу кредитным организациям, например, продлевает послабления по резервам, снижая давление на регулятивный капитал. «По сути, банкам дается больший срок, чтобы заработать прибыль, из которой позже нужно будет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досоздать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резервы по реструктурированным кредитам»,— поясняет директор аналитической группы по финансовым организациям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Fitch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Антон Лопатин.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По данным ЦБ, в первой половине года объем сформированных банками резервов на возможные потери по розничным ссудам уже на 102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руб. превысил уровень прошлого года.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Для компенсации потерь банков, связанных с ухудшением качества розничного портфеля, а также потенциальных потерь по реструктурированным кредитам отменяются надбавки к коэффициентам риска по кредитам, выданным по 31 августа 2019 года.</w:t>
      </w:r>
    </w:p>
    <w:p w:rsidR="00AF370B" w:rsidRDefault="00121270" w:rsidP="00AF370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По оценке ЦБ, это эквивалентно увеличению капитала на 168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 руб. При этом у банков останется буфер по необеспеченным потребительским кредитам в 440 млрд руб.</w:t>
      </w:r>
    </w:p>
    <w:p w:rsidR="00121270" w:rsidRPr="00220872" w:rsidRDefault="00AF370B" w:rsidP="00AF370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1270" w:rsidRPr="00220872">
        <w:rPr>
          <w:rFonts w:ascii="Times New Roman" w:hAnsi="Times New Roman" w:cs="Times New Roman"/>
          <w:sz w:val="24"/>
          <w:szCs w:val="24"/>
        </w:rPr>
        <w:t xml:space="preserve">алеко не все банкиры считают послабления достаточными. Так, директор </w:t>
      </w:r>
      <w:proofErr w:type="spellStart"/>
      <w:r w:rsidR="00121270" w:rsidRPr="00220872">
        <w:rPr>
          <w:rFonts w:ascii="Times New Roman" w:hAnsi="Times New Roman" w:cs="Times New Roman"/>
          <w:sz w:val="24"/>
          <w:szCs w:val="24"/>
        </w:rPr>
        <w:t>Альфа-банка</w:t>
      </w:r>
      <w:proofErr w:type="spellEnd"/>
      <w:r w:rsidR="00121270" w:rsidRPr="00220872">
        <w:rPr>
          <w:rFonts w:ascii="Times New Roman" w:hAnsi="Times New Roman" w:cs="Times New Roman"/>
          <w:sz w:val="24"/>
          <w:szCs w:val="24"/>
        </w:rPr>
        <w:t xml:space="preserve"> по управлению рисками Андрей </w:t>
      </w:r>
      <w:proofErr w:type="spellStart"/>
      <w:r w:rsidR="00121270" w:rsidRPr="00220872">
        <w:rPr>
          <w:rFonts w:ascii="Times New Roman" w:hAnsi="Times New Roman" w:cs="Times New Roman"/>
          <w:sz w:val="24"/>
          <w:szCs w:val="24"/>
        </w:rPr>
        <w:t>Гулецкий</w:t>
      </w:r>
      <w:proofErr w:type="spellEnd"/>
      <w:r w:rsidR="00121270" w:rsidRPr="00220872">
        <w:rPr>
          <w:rFonts w:ascii="Times New Roman" w:hAnsi="Times New Roman" w:cs="Times New Roman"/>
          <w:sz w:val="24"/>
          <w:szCs w:val="24"/>
        </w:rPr>
        <w:t xml:space="preserve"> подчеркивает, что объявленные регуляторные послабления нацелены в первую очередь на поддержку заемщиков, в том числе и за счет банков. Непосредственной выгоды от этих действий ЦБ банки не получат, признает он, однако поддерживают изменения, так как ожидают от них положительного эффекта для экономики в целом.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F370B" w:rsidRDefault="00AF370B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F370B" w:rsidRPr="00AF370B" w:rsidRDefault="00AF370B" w:rsidP="00AF370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F370B">
        <w:rPr>
          <w:rFonts w:ascii="Times New Roman" w:hAnsi="Times New Roman" w:cs="Times New Roman"/>
          <w:b/>
          <w:sz w:val="24"/>
          <w:szCs w:val="24"/>
        </w:rPr>
        <w:t xml:space="preserve">Минэкономики представило новый план по снижению </w:t>
      </w:r>
      <w:proofErr w:type="spellStart"/>
      <w:r w:rsidRPr="00AF370B">
        <w:rPr>
          <w:rFonts w:ascii="Times New Roman" w:hAnsi="Times New Roman" w:cs="Times New Roman"/>
          <w:b/>
          <w:sz w:val="24"/>
          <w:szCs w:val="24"/>
        </w:rPr>
        <w:t>энергопотерь</w:t>
      </w:r>
      <w:proofErr w:type="spellEnd"/>
      <w:r w:rsidRPr="00AF370B">
        <w:rPr>
          <w:rFonts w:ascii="Times New Roman" w:hAnsi="Times New Roman" w:cs="Times New Roman"/>
          <w:b/>
          <w:sz w:val="24"/>
          <w:szCs w:val="24"/>
        </w:rPr>
        <w:t xml:space="preserve"> в российской экономике</w:t>
      </w:r>
    </w:p>
    <w:p w:rsidR="00121270" w:rsidRPr="00220872" w:rsidRDefault="00AF370B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520BD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https://www.kommersant.ru/doc/4450020?from=main_10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0B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Минэкономики направило на рассмотрение коллег по правительству обновленный план повышения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, представив новую цель снижения энергоемкости ВВП к 2030 году — 35% от уровня 2017 года за счет современных технологий в энергетике, на транспорте и в ЖКХ. 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Закон об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был принят еще в 2009 году и предписывал снижение энергоемкости российского ВВП на 40% к 2020 году, но с 2015 года бюджетная поддержка проектов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была свернута, а средства — перенаправлены на развитие футбольной инфраструктуры и поддержку моногородов. К 2017 году власти признали, что цель, скорее всего, не будет достигнута, одновременно Минэкономики (получившее эти полномочия от Минэнерго) разработало первую версию нового плана. В декабре 2019 года Минэкономики признало, что «за прошедшие десять лет энергоемкость ВВП снизилась всего на 9%, а в последние четыре года она не снижается».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Как пояснили “Ъ” в Минэкономики, новый план готовился с участием ведомств, регионов, а также бизнеса и экспертного сообщества и ориентирован в первую очередь на «повышение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наиболее энергоемких секторов экономики и бюджетного сектора». План синхронизирован со стратегией долгосрочного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низкоуглеродного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развития и должен стать основным инструментом достижения климатических целей РФ по «базовому сценарию». Новая цель для РФ в области снижения энергоемкости на 2030 год — порядка 35% снижения энергоемкости от уровня 2017 года в целом (или порядка 42% от уровня 2009 года), более половины эффекта (20%) должен обеспечить технологический фактор.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>Получается, что цель 2009 года «переносят» на десять лет вперед, однако предлагаются более реальные механизмы ее достижения, говорят эксперты.</w:t>
      </w:r>
    </w:p>
    <w:p w:rsidR="00121270" w:rsidRPr="00220872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20872">
        <w:rPr>
          <w:rFonts w:ascii="Times New Roman" w:hAnsi="Times New Roman" w:cs="Times New Roman"/>
          <w:sz w:val="24"/>
          <w:szCs w:val="24"/>
        </w:rPr>
        <w:t xml:space="preserve">План включает шесть блоков мероприятий — в электроэнергетике, промышленности,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материалах, ЖКХ, теплоснабжении и на транспорте, отдельно выделена бюджетная сфера. «Нулевой» этап плана — введение 100-процентного приборного учета (в том числе с автоматическим сбором показаний). Основным инструментом в энергетике названа «модернизация генерирующих объектов», в том числе внедрение высокоэффективных парогазовых технологий на электростанциях и содействие развитию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0872">
        <w:rPr>
          <w:rFonts w:ascii="Times New Roman" w:hAnsi="Times New Roman" w:cs="Times New Roman"/>
          <w:sz w:val="24"/>
          <w:szCs w:val="24"/>
        </w:rPr>
        <w:t xml:space="preserve">План также предлагает дополнение справочников НДТ и регламентов ЕАЭС предельными показателями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, обновление требований к стройматериалам, капремонту и новому строительству многоквартирных домов, стимулирование спроса и предложения на рынке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жилья (сектор ЖКХ в РФ потребляет около 17% первичной энергии, при этом более половины многоквартирных домов энергетически неэффективны и лишь треть новых имеют высокие классы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>), снижение потерь в тепловых сетях</w:t>
      </w:r>
      <w:proofErr w:type="gramEnd"/>
      <w:r w:rsidRPr="00220872">
        <w:rPr>
          <w:rFonts w:ascii="Times New Roman" w:hAnsi="Times New Roman" w:cs="Times New Roman"/>
          <w:sz w:val="24"/>
          <w:szCs w:val="24"/>
        </w:rPr>
        <w:t xml:space="preserve">, обновление парка автобусов и грузовой техники. Наконец, план включает и ряд предложений по развитию зеленого финансирования — в том числе за счет инструментов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энергосервиса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, льготных кредитов, господдержки </w:t>
      </w:r>
      <w:proofErr w:type="spellStart"/>
      <w:r w:rsidRPr="00220872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220872">
        <w:rPr>
          <w:rFonts w:ascii="Times New Roman" w:hAnsi="Times New Roman" w:cs="Times New Roman"/>
          <w:sz w:val="24"/>
          <w:szCs w:val="24"/>
        </w:rPr>
        <w:t xml:space="preserve"> товаров и технологий.</w:t>
      </w:r>
    </w:p>
    <w:p w:rsidR="00121270" w:rsidRDefault="00121270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F370B" w:rsidRPr="00220872" w:rsidRDefault="00AF370B" w:rsidP="00121270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AF370B" w:rsidRPr="00220872" w:rsidSect="00BC109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5"/>
    <w:rsid w:val="00072E8D"/>
    <w:rsid w:val="000E68C1"/>
    <w:rsid w:val="00121270"/>
    <w:rsid w:val="00127635"/>
    <w:rsid w:val="00220872"/>
    <w:rsid w:val="00304A4A"/>
    <w:rsid w:val="0032280F"/>
    <w:rsid w:val="00351DDF"/>
    <w:rsid w:val="004E354C"/>
    <w:rsid w:val="00553465"/>
    <w:rsid w:val="007B7DEC"/>
    <w:rsid w:val="00971DDC"/>
    <w:rsid w:val="009E3DC0"/>
    <w:rsid w:val="00AF370B"/>
    <w:rsid w:val="00D719D4"/>
    <w:rsid w:val="00E85FAE"/>
    <w:rsid w:val="00F332FF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10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1095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971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10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1095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97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11/sp-raskritikovala-korporaciiu-msp-za-otsutstvie-dolgosrochnoj-programmy-razviti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2020/08/11/vremennye-rabochie-mesta-pomogut-obespechit-zaniatost-v-79-regionah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zeta.ru/business/2020/08/07/13185259.shtml" TargetMode="External"/><Relationship Id="rId11" Type="http://schemas.openxmlformats.org/officeDocument/2006/relationships/hyperlink" Target="https://www.kommersant.ru/doc/4450020?from=main_10" TargetMode="External"/><Relationship Id="rId5" Type="http://schemas.openxmlformats.org/officeDocument/2006/relationships/hyperlink" Target="https://www.gazeta.ru/business/2020/08/10/13188607.shtml" TargetMode="External"/><Relationship Id="rId10" Type="http://schemas.openxmlformats.org/officeDocument/2006/relationships/hyperlink" Target="https://www.kommersant.ru/doc/4449946?from=main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ekonomika/917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Васильев Сергей</cp:lastModifiedBy>
  <cp:revision>3</cp:revision>
  <dcterms:created xsi:type="dcterms:W3CDTF">2020-08-11T08:32:00Z</dcterms:created>
  <dcterms:modified xsi:type="dcterms:W3CDTF">2020-08-11T09:01:00Z</dcterms:modified>
</cp:coreProperties>
</file>