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CC" w:rsidRPr="000537CC" w:rsidRDefault="000537CC" w:rsidP="000537CC">
      <w:pPr>
        <w:pStyle w:val="a3"/>
        <w:ind w:firstLine="1134"/>
        <w:rPr>
          <w:rFonts w:ascii="Times New Roman" w:hAnsi="Times New Roman" w:cs="Times New Roman"/>
          <w:b/>
          <w:sz w:val="24"/>
          <w:szCs w:val="24"/>
        </w:rPr>
      </w:pPr>
      <w:bookmarkStart w:id="0" w:name="_GoBack"/>
      <w:bookmarkEnd w:id="0"/>
      <w:r w:rsidRPr="000537CC">
        <w:rPr>
          <w:rFonts w:ascii="Times New Roman" w:hAnsi="Times New Roman" w:cs="Times New Roman"/>
          <w:b/>
          <w:sz w:val="24"/>
          <w:szCs w:val="24"/>
        </w:rPr>
        <w:t>Банки выступили против инициативы депутатов обязать их сообщать клиентам причины отказов по кредитам</w:t>
      </w:r>
    </w:p>
    <w:p w:rsidR="00CC642C" w:rsidRPr="000537CC" w:rsidRDefault="00BB04A5" w:rsidP="00CC642C">
      <w:pPr>
        <w:pStyle w:val="a3"/>
        <w:ind w:firstLine="1134"/>
        <w:rPr>
          <w:rFonts w:ascii="Times New Roman" w:hAnsi="Times New Roman" w:cs="Times New Roman"/>
          <w:sz w:val="24"/>
          <w:szCs w:val="24"/>
        </w:rPr>
      </w:pPr>
      <w:hyperlink r:id="rId4" w:history="1">
        <w:r w:rsidR="000537CC" w:rsidRPr="00783762">
          <w:rPr>
            <w:rStyle w:val="a5"/>
            <w:rFonts w:ascii="Times New Roman" w:hAnsi="Times New Roman" w:cs="Times New Roman"/>
            <w:sz w:val="24"/>
            <w:szCs w:val="24"/>
          </w:rPr>
          <w:t>https://www.rbc.ru/finances/13/01/2021/5ffda8c39a79477cd000206e</w:t>
        </w:r>
      </w:hyperlink>
      <w:r w:rsidR="000537CC">
        <w:rPr>
          <w:rFonts w:ascii="Times New Roman" w:hAnsi="Times New Roman" w:cs="Times New Roman"/>
          <w:sz w:val="24"/>
          <w:szCs w:val="24"/>
        </w:rPr>
        <w:t xml:space="preserve"> </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Банки попросили депутатов не менять существующий порядок выдачи кредитов: участники рынка не хотят раскрывать клиентам причины отказов по заявкам, следует из письма Ассоциации банков России главе комитета Госдумы по финансовому рынку Анатолию Аксакову. Так кредитные организации отреагировали на поправки в закон «О потребительском кредите», внесенные в Госдуму в конце октября парламентом Калмыкии. Начало рассмотрения инициативы намечено на февраль, следует из карточки законопроекта.</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Сейчас банки могут отказаться заключать кредитный договор с клиентом без объяснений. Законопроект предлагает обязать кредиторов давать несостоявшимся заемщикам «мотивированное объяснение с причинами отказа». Зачастую россияне даже не предполагают, что мешает им брать ссуды, но после принятия поправок у клиентов будет возможность устранить причины отказов, говорится в пояснительной записке к законопроекту. В Ассоциации банков России (АБР) настаивают, что дополнительные знания ничего российским заемщикам не дадут, а смена практики создаст риски для банков.</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Как отмечают в АБР, раскрывать несостоявшимся заемщикам причины отказов в выдаче ссуд крайне затруднительно из-за коммерческой тайны, которая распространяется на внутренние модели оценки платежеспособности клиентов. Дополнительные разъяснения заемщикам приведут к раскрытию </w:t>
      </w:r>
      <w:proofErr w:type="spellStart"/>
      <w:r w:rsidRPr="000537CC">
        <w:rPr>
          <w:rFonts w:ascii="Times New Roman" w:hAnsi="Times New Roman" w:cs="Times New Roman"/>
          <w:sz w:val="24"/>
          <w:szCs w:val="24"/>
        </w:rPr>
        <w:t>скоринговых</w:t>
      </w:r>
      <w:proofErr w:type="spellEnd"/>
      <w:r w:rsidRPr="000537CC">
        <w:rPr>
          <w:rFonts w:ascii="Times New Roman" w:hAnsi="Times New Roman" w:cs="Times New Roman"/>
          <w:sz w:val="24"/>
          <w:szCs w:val="24"/>
        </w:rPr>
        <w:t xml:space="preserve"> моделей, объясняет Клименко: «При оценке платежеспособности банк, во-первых, может учитывать неочевидные для самих клиентов моменты. Во-вторых, банк принимает на себя кредитный риск и несет ответственность перед вкладчиками, которые доверили ему деньги, он строит </w:t>
      </w:r>
      <w:proofErr w:type="spellStart"/>
      <w:r w:rsidRPr="000537CC">
        <w:rPr>
          <w:rFonts w:ascii="Times New Roman" w:hAnsi="Times New Roman" w:cs="Times New Roman"/>
          <w:sz w:val="24"/>
          <w:szCs w:val="24"/>
        </w:rPr>
        <w:t>скоринговые</w:t>
      </w:r>
      <w:proofErr w:type="spellEnd"/>
      <w:r w:rsidRPr="000537CC">
        <w:rPr>
          <w:rFonts w:ascii="Times New Roman" w:hAnsi="Times New Roman" w:cs="Times New Roman"/>
          <w:sz w:val="24"/>
          <w:szCs w:val="24"/>
        </w:rPr>
        <w:t xml:space="preserve"> модели так, чтобы меньше навредить себе и тем людям, за чьи деньги он отвечает».</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Участники рынка также не уверены, что их разъяснения будут полезны потенциальным заемщикам. «</w:t>
      </w:r>
      <w:proofErr w:type="spellStart"/>
      <w:r w:rsidRPr="000537CC">
        <w:rPr>
          <w:rFonts w:ascii="Times New Roman" w:hAnsi="Times New Roman" w:cs="Times New Roman"/>
          <w:sz w:val="24"/>
          <w:szCs w:val="24"/>
        </w:rPr>
        <w:t>Скоринговые</w:t>
      </w:r>
      <w:proofErr w:type="spellEnd"/>
      <w:r w:rsidRPr="000537CC">
        <w:rPr>
          <w:rFonts w:ascii="Times New Roman" w:hAnsi="Times New Roman" w:cs="Times New Roman"/>
          <w:sz w:val="24"/>
          <w:szCs w:val="24"/>
        </w:rPr>
        <w:t xml:space="preserve"> модели у банков разные: один кредитор откажет по одному основанию, другой — по иным причинам. Единого подхода нет, все превратится в кашу, клиенты еще больше запутаются», — предупреждает Клименко. В письме АБР отмечается, что это приведет к значительному росту жалоб заемщиков в ЦБ, суды и службу финансового уполномоченного. С 1 января 2021 года жалобы банковских клиентов может рассматривать финансовый омбудсмен, его работу будут оплачивать кредитные организации. Если уполномоченный встанет на сторону потребителя, банк должен будет выплатить за рассмотрение спора 27,9 тыс. руб., если жалоба окажется необоснованной — 9,3 тыс. руб.</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В АБР считают, что у россиян уже есть возможность оценивать свои шансы на получение кредитов. Гражданин может ознакомиться со своей кредитной историей, запросив ее в бюро, дважды в год это можно делать бесплатно. На основании кредитного отчета клиент способен оценить свою платежную нагрузку, и этого будет достаточно, чтобы не столкнуться с распространенной причиной отказов, говорит Клименко. «Зачастую банки не доходят до непосредственного </w:t>
      </w:r>
      <w:proofErr w:type="spellStart"/>
      <w:r w:rsidRPr="000537CC">
        <w:rPr>
          <w:rFonts w:ascii="Times New Roman" w:hAnsi="Times New Roman" w:cs="Times New Roman"/>
          <w:sz w:val="24"/>
          <w:szCs w:val="24"/>
        </w:rPr>
        <w:t>скоринга</w:t>
      </w:r>
      <w:proofErr w:type="spellEnd"/>
      <w:r w:rsidRPr="000537CC">
        <w:rPr>
          <w:rFonts w:ascii="Times New Roman" w:hAnsi="Times New Roman" w:cs="Times New Roman"/>
          <w:sz w:val="24"/>
          <w:szCs w:val="24"/>
        </w:rPr>
        <w:t xml:space="preserve"> клиента по своим моделям, если потенциальный заемщик имеет высокий показатель долговой нагрузки (ПДН, соотношение ежемесячных платежей по кредитам к доходу. — РБК). ЦБ ввел этот показатель как раз для того, чтобы ограничить выдачи слишком </w:t>
      </w:r>
      <w:proofErr w:type="spellStart"/>
      <w:r w:rsidRPr="000537CC">
        <w:rPr>
          <w:rFonts w:ascii="Times New Roman" w:hAnsi="Times New Roman" w:cs="Times New Roman"/>
          <w:sz w:val="24"/>
          <w:szCs w:val="24"/>
        </w:rPr>
        <w:t>закредитованным</w:t>
      </w:r>
      <w:proofErr w:type="spellEnd"/>
      <w:r w:rsidRPr="000537CC">
        <w:rPr>
          <w:rFonts w:ascii="Times New Roman" w:hAnsi="Times New Roman" w:cs="Times New Roman"/>
          <w:sz w:val="24"/>
          <w:szCs w:val="24"/>
        </w:rPr>
        <w:t xml:space="preserve"> гражданам. Получается, что высокий ПДН для банков является практически автоматическим основанием для отказа, и объяснять причины не имеет смысла».</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Если подходы к </w:t>
      </w:r>
      <w:proofErr w:type="spellStart"/>
      <w:r w:rsidRPr="000537CC">
        <w:rPr>
          <w:rFonts w:ascii="Times New Roman" w:hAnsi="Times New Roman" w:cs="Times New Roman"/>
          <w:sz w:val="24"/>
          <w:szCs w:val="24"/>
        </w:rPr>
        <w:t>скорингу</w:t>
      </w:r>
      <w:proofErr w:type="spellEnd"/>
      <w:r w:rsidRPr="000537CC">
        <w:rPr>
          <w:rFonts w:ascii="Times New Roman" w:hAnsi="Times New Roman" w:cs="Times New Roman"/>
          <w:sz w:val="24"/>
          <w:szCs w:val="24"/>
        </w:rPr>
        <w:t xml:space="preserve"> будут раскрыты, заемщики начнут подстраивать свое поведение ради улучшения личных рейтингов, говорит директор департамента розничных рисков банка «Зенит» Александр Шорников, называя критичными «любые факторы манипуляций </w:t>
      </w:r>
      <w:proofErr w:type="spellStart"/>
      <w:r w:rsidRPr="000537CC">
        <w:rPr>
          <w:rFonts w:ascii="Times New Roman" w:hAnsi="Times New Roman" w:cs="Times New Roman"/>
          <w:sz w:val="24"/>
          <w:szCs w:val="24"/>
        </w:rPr>
        <w:t>скоринговыми</w:t>
      </w:r>
      <w:proofErr w:type="spellEnd"/>
      <w:r w:rsidRPr="000537CC">
        <w:rPr>
          <w:rFonts w:ascii="Times New Roman" w:hAnsi="Times New Roman" w:cs="Times New Roman"/>
          <w:sz w:val="24"/>
          <w:szCs w:val="24"/>
        </w:rPr>
        <w:t xml:space="preserve"> оценками со стороны заемщиков». По словам </w:t>
      </w:r>
      <w:proofErr w:type="spellStart"/>
      <w:r w:rsidRPr="000537CC">
        <w:rPr>
          <w:rFonts w:ascii="Times New Roman" w:hAnsi="Times New Roman" w:cs="Times New Roman"/>
          <w:sz w:val="24"/>
          <w:szCs w:val="24"/>
        </w:rPr>
        <w:lastRenderedPageBreak/>
        <w:t>Шорникова</w:t>
      </w:r>
      <w:proofErr w:type="spellEnd"/>
      <w:r w:rsidRPr="000537CC">
        <w:rPr>
          <w:rFonts w:ascii="Times New Roman" w:hAnsi="Times New Roman" w:cs="Times New Roman"/>
          <w:sz w:val="24"/>
          <w:szCs w:val="24"/>
        </w:rPr>
        <w:t>, дополнительная информация может быть полезна клиентам, но «детализировать причины отказа на понятном неспециалисту языке практически невозможно».</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Если и вводить новую обязанность для банков, то перечень ответов следует стандартизировать, считает директор розничных продуктов банка «</w:t>
      </w:r>
      <w:proofErr w:type="spellStart"/>
      <w:r w:rsidRPr="000537CC">
        <w:rPr>
          <w:rFonts w:ascii="Times New Roman" w:hAnsi="Times New Roman" w:cs="Times New Roman"/>
          <w:sz w:val="24"/>
          <w:szCs w:val="24"/>
        </w:rPr>
        <w:t>Дом.РФ</w:t>
      </w:r>
      <w:proofErr w:type="spellEnd"/>
      <w:r w:rsidRPr="000537CC">
        <w:rPr>
          <w:rFonts w:ascii="Times New Roman" w:hAnsi="Times New Roman" w:cs="Times New Roman"/>
          <w:sz w:val="24"/>
          <w:szCs w:val="24"/>
        </w:rPr>
        <w:t>» Евгений Шитиков. Такой подход позволит снизить риск негатива со стороны клиентов, говорит он.</w:t>
      </w:r>
    </w:p>
    <w:p w:rsidR="000537CC" w:rsidRPr="000537CC" w:rsidRDefault="000537CC" w:rsidP="000537CC">
      <w:pPr>
        <w:pStyle w:val="a3"/>
        <w:ind w:firstLine="1134"/>
        <w:rPr>
          <w:rFonts w:ascii="Times New Roman" w:hAnsi="Times New Roman" w:cs="Times New Roman"/>
          <w:sz w:val="24"/>
          <w:szCs w:val="24"/>
        </w:rPr>
      </w:pPr>
      <w:r w:rsidRPr="000537CC">
        <w:rPr>
          <w:rFonts w:ascii="Times New Roman" w:hAnsi="Times New Roman" w:cs="Times New Roman"/>
          <w:sz w:val="24"/>
          <w:szCs w:val="24"/>
        </w:rPr>
        <w:t>Банк России готовит отзыв на законопроект, комментарии по нему преждевременны, сказал РБК представитель ЦБ. Депутат Анатолий Аксаков сообщил, что документ еще обсуждается.</w:t>
      </w:r>
    </w:p>
    <w:p w:rsidR="00CC642C" w:rsidRPr="000537CC" w:rsidRDefault="00CC642C" w:rsidP="00CC642C">
      <w:pPr>
        <w:pStyle w:val="a3"/>
        <w:ind w:firstLine="1134"/>
        <w:rPr>
          <w:rFonts w:ascii="Times New Roman" w:hAnsi="Times New Roman" w:cs="Times New Roman"/>
          <w:sz w:val="24"/>
          <w:szCs w:val="24"/>
        </w:rPr>
      </w:pPr>
    </w:p>
    <w:p w:rsidR="00CC642C" w:rsidRPr="000537CC" w:rsidRDefault="00CC642C" w:rsidP="00CC642C">
      <w:pPr>
        <w:pStyle w:val="a3"/>
        <w:ind w:firstLine="1134"/>
        <w:rPr>
          <w:rFonts w:ascii="Times New Roman" w:hAnsi="Times New Roman" w:cs="Times New Roman"/>
          <w:sz w:val="24"/>
          <w:szCs w:val="24"/>
        </w:rPr>
      </w:pPr>
    </w:p>
    <w:p w:rsidR="000537CC" w:rsidRPr="000537CC" w:rsidRDefault="000537CC" w:rsidP="000537CC">
      <w:pPr>
        <w:pStyle w:val="a3"/>
        <w:ind w:firstLine="1134"/>
        <w:rPr>
          <w:rFonts w:ascii="Times New Roman" w:hAnsi="Times New Roman" w:cs="Times New Roman"/>
          <w:b/>
          <w:sz w:val="24"/>
          <w:szCs w:val="24"/>
        </w:rPr>
      </w:pPr>
      <w:r w:rsidRPr="000537CC">
        <w:rPr>
          <w:rFonts w:ascii="Times New Roman" w:hAnsi="Times New Roman" w:cs="Times New Roman"/>
          <w:b/>
          <w:sz w:val="24"/>
          <w:szCs w:val="24"/>
        </w:rPr>
        <w:t xml:space="preserve">Финансовым организациям планируется дать доступ к сведениям о </w:t>
      </w:r>
      <w:proofErr w:type="spellStart"/>
      <w:r w:rsidRPr="000537CC">
        <w:rPr>
          <w:rFonts w:ascii="Times New Roman" w:hAnsi="Times New Roman" w:cs="Times New Roman"/>
          <w:b/>
          <w:sz w:val="24"/>
          <w:szCs w:val="24"/>
        </w:rPr>
        <w:t>юрлицах</w:t>
      </w:r>
      <w:proofErr w:type="spellEnd"/>
      <w:r w:rsidRPr="000537CC">
        <w:rPr>
          <w:rFonts w:ascii="Times New Roman" w:hAnsi="Times New Roman" w:cs="Times New Roman"/>
          <w:b/>
          <w:sz w:val="24"/>
          <w:szCs w:val="24"/>
        </w:rPr>
        <w:t xml:space="preserve"> из государственных систем</w:t>
      </w:r>
    </w:p>
    <w:p w:rsidR="00CC642C" w:rsidRPr="000537CC" w:rsidRDefault="00BB04A5" w:rsidP="00CC642C">
      <w:pPr>
        <w:pStyle w:val="a3"/>
        <w:ind w:firstLine="1134"/>
        <w:rPr>
          <w:rFonts w:ascii="Times New Roman" w:hAnsi="Times New Roman" w:cs="Times New Roman"/>
          <w:sz w:val="24"/>
          <w:szCs w:val="24"/>
        </w:rPr>
      </w:pPr>
      <w:hyperlink r:id="rId5" w:history="1">
        <w:r w:rsidR="000537CC" w:rsidRPr="00783762">
          <w:rPr>
            <w:rStyle w:val="a5"/>
            <w:rFonts w:ascii="Times New Roman" w:hAnsi="Times New Roman" w:cs="Times New Roman"/>
            <w:sz w:val="24"/>
            <w:szCs w:val="24"/>
          </w:rPr>
          <w:t>https://iz.ru/1110406/natalia-ilina/vykhodiat-v-shliuz-v-rf-nachnut-rabotu-nad-tcifrovym-profilem-kompanii</w:t>
        </w:r>
      </w:hyperlink>
      <w:r w:rsidR="000537CC">
        <w:rPr>
          <w:rFonts w:ascii="Times New Roman" w:hAnsi="Times New Roman" w:cs="Times New Roman"/>
          <w:sz w:val="24"/>
          <w:szCs w:val="24"/>
        </w:rPr>
        <w:t xml:space="preserve"> </w:t>
      </w:r>
    </w:p>
    <w:p w:rsid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Российские компании могут наделить «Цифровым профилем» для оптимизации и ускорения их работы с банками. Проект передачи данных о </w:t>
      </w:r>
      <w:proofErr w:type="spellStart"/>
      <w:r w:rsidRPr="000537CC">
        <w:rPr>
          <w:rFonts w:ascii="Times New Roman" w:hAnsi="Times New Roman" w:cs="Times New Roman"/>
          <w:sz w:val="24"/>
          <w:szCs w:val="24"/>
        </w:rPr>
        <w:t>юрлице</w:t>
      </w:r>
      <w:proofErr w:type="spellEnd"/>
      <w:r w:rsidRPr="000537CC">
        <w:rPr>
          <w:rFonts w:ascii="Times New Roman" w:hAnsi="Times New Roman" w:cs="Times New Roman"/>
          <w:sz w:val="24"/>
          <w:szCs w:val="24"/>
        </w:rPr>
        <w:t xml:space="preserve"> из </w:t>
      </w:r>
      <w:proofErr w:type="spellStart"/>
      <w:r w:rsidRPr="000537CC">
        <w:rPr>
          <w:rFonts w:ascii="Times New Roman" w:hAnsi="Times New Roman" w:cs="Times New Roman"/>
          <w:sz w:val="24"/>
          <w:szCs w:val="24"/>
        </w:rPr>
        <w:t>госсистем</w:t>
      </w:r>
      <w:proofErr w:type="spellEnd"/>
      <w:r w:rsidRPr="000537CC">
        <w:rPr>
          <w:rFonts w:ascii="Times New Roman" w:hAnsi="Times New Roman" w:cs="Times New Roman"/>
          <w:sz w:val="24"/>
          <w:szCs w:val="24"/>
        </w:rPr>
        <w:t xml:space="preserve"> в финансовые организации с разрешения клиента в 2021 году планируется проработать на площадке Ассоциации </w:t>
      </w:r>
      <w:proofErr w:type="spellStart"/>
      <w:r w:rsidRPr="000537CC">
        <w:rPr>
          <w:rFonts w:ascii="Times New Roman" w:hAnsi="Times New Roman" w:cs="Times New Roman"/>
          <w:sz w:val="24"/>
          <w:szCs w:val="24"/>
        </w:rPr>
        <w:t>ФинТех</w:t>
      </w:r>
      <w:proofErr w:type="spellEnd"/>
      <w:r w:rsidRPr="000537CC">
        <w:rPr>
          <w:rFonts w:ascii="Times New Roman" w:hAnsi="Times New Roman" w:cs="Times New Roman"/>
          <w:sz w:val="24"/>
          <w:szCs w:val="24"/>
        </w:rPr>
        <w:t xml:space="preserve">, рассказала «Известиям» гендиректор организации Татьяна </w:t>
      </w:r>
      <w:proofErr w:type="spellStart"/>
      <w:r w:rsidRPr="000537CC">
        <w:rPr>
          <w:rFonts w:ascii="Times New Roman" w:hAnsi="Times New Roman" w:cs="Times New Roman"/>
          <w:sz w:val="24"/>
          <w:szCs w:val="24"/>
        </w:rPr>
        <w:t>Жаркова</w:t>
      </w:r>
      <w:proofErr w:type="spellEnd"/>
      <w:r w:rsidRPr="000537CC">
        <w:rPr>
          <w:rFonts w:ascii="Times New Roman" w:hAnsi="Times New Roman" w:cs="Times New Roman"/>
          <w:sz w:val="24"/>
          <w:szCs w:val="24"/>
        </w:rPr>
        <w:t>. </w:t>
      </w:r>
    </w:p>
    <w:p w:rsidR="00CC642C" w:rsidRPr="000537CC" w:rsidRDefault="00CC642C" w:rsidP="00CC642C">
      <w:pPr>
        <w:pStyle w:val="a3"/>
        <w:ind w:firstLine="1134"/>
        <w:rPr>
          <w:rFonts w:ascii="Times New Roman" w:hAnsi="Times New Roman" w:cs="Times New Roman"/>
          <w:sz w:val="24"/>
          <w:szCs w:val="24"/>
        </w:rPr>
      </w:pPr>
      <w:proofErr w:type="spellStart"/>
      <w:r w:rsidRPr="000537CC">
        <w:rPr>
          <w:rFonts w:ascii="Times New Roman" w:hAnsi="Times New Roman" w:cs="Times New Roman"/>
          <w:sz w:val="24"/>
          <w:szCs w:val="24"/>
        </w:rPr>
        <w:t>Жаркова</w:t>
      </w:r>
      <w:proofErr w:type="spellEnd"/>
      <w:r w:rsidR="000537CC">
        <w:rPr>
          <w:rFonts w:ascii="Times New Roman" w:hAnsi="Times New Roman" w:cs="Times New Roman"/>
          <w:sz w:val="24"/>
          <w:szCs w:val="24"/>
        </w:rPr>
        <w:t xml:space="preserve"> </w:t>
      </w:r>
      <w:r w:rsidRPr="000537CC">
        <w:rPr>
          <w:rFonts w:ascii="Times New Roman" w:hAnsi="Times New Roman" w:cs="Times New Roman"/>
          <w:sz w:val="24"/>
          <w:szCs w:val="24"/>
        </w:rPr>
        <w:t>добавила: планируется проанализировать, есть ли потребность в изменении нормативно-правовых актов, а также провести пилотный проект. Участники АФТ проявляют большой интерес к инициативе, подчеркнула глава ассоциации.</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В 2020 году в России заработал пилот по «Цифровому профилю» для физлиц. При подаче заявки на кредит клиент оставляет согласие на обработку сведений из «</w:t>
      </w:r>
      <w:proofErr w:type="spellStart"/>
      <w:r w:rsidRPr="000537CC">
        <w:rPr>
          <w:rFonts w:ascii="Times New Roman" w:hAnsi="Times New Roman" w:cs="Times New Roman"/>
          <w:sz w:val="24"/>
          <w:szCs w:val="24"/>
        </w:rPr>
        <w:t>Госуслуг</w:t>
      </w:r>
      <w:proofErr w:type="spellEnd"/>
      <w:r w:rsidRPr="000537CC">
        <w:rPr>
          <w:rFonts w:ascii="Times New Roman" w:hAnsi="Times New Roman" w:cs="Times New Roman"/>
          <w:sz w:val="24"/>
          <w:szCs w:val="24"/>
        </w:rPr>
        <w:t xml:space="preserve">», и форма заполнится автоматически. Банк получает информацию о доходах заемщика из подтвержденного источника и не требует предоставлять справки (например, 2-НДФЛ). Предполагается, что «Цифровой профиль» для </w:t>
      </w:r>
      <w:proofErr w:type="spellStart"/>
      <w:r w:rsidRPr="000537CC">
        <w:rPr>
          <w:rFonts w:ascii="Times New Roman" w:hAnsi="Times New Roman" w:cs="Times New Roman"/>
          <w:sz w:val="24"/>
          <w:szCs w:val="24"/>
        </w:rPr>
        <w:t>юрлиц</w:t>
      </w:r>
      <w:proofErr w:type="spellEnd"/>
      <w:r w:rsidRPr="000537CC">
        <w:rPr>
          <w:rFonts w:ascii="Times New Roman" w:hAnsi="Times New Roman" w:cs="Times New Roman"/>
          <w:sz w:val="24"/>
          <w:szCs w:val="24"/>
        </w:rPr>
        <w:t xml:space="preserve"> будет работать аналогично: данные о бизнесе из </w:t>
      </w:r>
      <w:proofErr w:type="spellStart"/>
      <w:r w:rsidRPr="000537CC">
        <w:rPr>
          <w:rFonts w:ascii="Times New Roman" w:hAnsi="Times New Roman" w:cs="Times New Roman"/>
          <w:sz w:val="24"/>
          <w:szCs w:val="24"/>
        </w:rPr>
        <w:t>госсистем</w:t>
      </w:r>
      <w:proofErr w:type="spellEnd"/>
      <w:r w:rsidRPr="000537CC">
        <w:rPr>
          <w:rFonts w:ascii="Times New Roman" w:hAnsi="Times New Roman" w:cs="Times New Roman"/>
          <w:sz w:val="24"/>
          <w:szCs w:val="24"/>
        </w:rPr>
        <w:t xml:space="preserve"> смогут автоматически передаваться в банк.</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Запрос на создание «Цифрового профиля» </w:t>
      </w:r>
      <w:proofErr w:type="spellStart"/>
      <w:r w:rsidRPr="000537CC">
        <w:rPr>
          <w:rFonts w:ascii="Times New Roman" w:hAnsi="Times New Roman" w:cs="Times New Roman"/>
          <w:sz w:val="24"/>
          <w:szCs w:val="24"/>
        </w:rPr>
        <w:t>юрлица</w:t>
      </w:r>
      <w:proofErr w:type="spellEnd"/>
      <w:r w:rsidRPr="000537CC">
        <w:rPr>
          <w:rFonts w:ascii="Times New Roman" w:hAnsi="Times New Roman" w:cs="Times New Roman"/>
          <w:sz w:val="24"/>
          <w:szCs w:val="24"/>
        </w:rPr>
        <w:t xml:space="preserve"> поступил от рынка, и ЦБ полностью поддерживает развитие проекта в том числе для компаний, заявили «Известиям» в Банке России. В регуляторе подчеркнули, что механизм позволит предпринимателям предоставлять финансовым организациям верифицированные данные о себе в режиме «одного окна».</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Пилотный проект «Цифрового профиля» для </w:t>
      </w:r>
      <w:proofErr w:type="spellStart"/>
      <w:r w:rsidRPr="000537CC">
        <w:rPr>
          <w:rFonts w:ascii="Times New Roman" w:hAnsi="Times New Roman" w:cs="Times New Roman"/>
          <w:sz w:val="24"/>
          <w:szCs w:val="24"/>
        </w:rPr>
        <w:t>юрлиц</w:t>
      </w:r>
      <w:proofErr w:type="spellEnd"/>
      <w:r w:rsidRPr="000537CC">
        <w:rPr>
          <w:rFonts w:ascii="Times New Roman" w:hAnsi="Times New Roman" w:cs="Times New Roman"/>
          <w:sz w:val="24"/>
          <w:szCs w:val="24"/>
        </w:rPr>
        <w:t xml:space="preserve"> должен стартовать, как только будет готова инфраструктура на стороне разработчика платформы: это ожидается к IV кварталу 2021 года, рассказал «Известиям» директор по инновациям Ак Барс Банка Дамир </w:t>
      </w:r>
      <w:proofErr w:type="spellStart"/>
      <w:r w:rsidRPr="000537CC">
        <w:rPr>
          <w:rFonts w:ascii="Times New Roman" w:hAnsi="Times New Roman" w:cs="Times New Roman"/>
          <w:sz w:val="24"/>
          <w:szCs w:val="24"/>
        </w:rPr>
        <w:t>Галиев</w:t>
      </w:r>
      <w:proofErr w:type="spellEnd"/>
      <w:r w:rsidRPr="000537CC">
        <w:rPr>
          <w:rFonts w:ascii="Times New Roman" w:hAnsi="Times New Roman" w:cs="Times New Roman"/>
          <w:sz w:val="24"/>
          <w:szCs w:val="24"/>
        </w:rPr>
        <w:t xml:space="preserve">. Этот банк, а также ВТБ, ПСБ, крымский РНКБ и </w:t>
      </w:r>
      <w:proofErr w:type="spellStart"/>
      <w:r w:rsidRPr="000537CC">
        <w:rPr>
          <w:rFonts w:ascii="Times New Roman" w:hAnsi="Times New Roman" w:cs="Times New Roman"/>
          <w:sz w:val="24"/>
          <w:szCs w:val="24"/>
        </w:rPr>
        <w:t>Совкомбанк</w:t>
      </w:r>
      <w:proofErr w:type="spellEnd"/>
      <w:r w:rsidRPr="000537CC">
        <w:rPr>
          <w:rFonts w:ascii="Times New Roman" w:hAnsi="Times New Roman" w:cs="Times New Roman"/>
          <w:sz w:val="24"/>
          <w:szCs w:val="24"/>
        </w:rPr>
        <w:t xml:space="preserve"> планируют участвовать в работе над проектом, заявили «Известиям» их представители. Такую возможность также рассматривает банк «</w:t>
      </w:r>
      <w:proofErr w:type="spellStart"/>
      <w:r w:rsidRPr="000537CC">
        <w:rPr>
          <w:rFonts w:ascii="Times New Roman" w:hAnsi="Times New Roman" w:cs="Times New Roman"/>
          <w:sz w:val="24"/>
          <w:szCs w:val="24"/>
        </w:rPr>
        <w:t>Дом.РФ</w:t>
      </w:r>
      <w:proofErr w:type="spellEnd"/>
      <w:r w:rsidRPr="000537CC">
        <w:rPr>
          <w:rFonts w:ascii="Times New Roman" w:hAnsi="Times New Roman" w:cs="Times New Roman"/>
          <w:sz w:val="24"/>
          <w:szCs w:val="24"/>
        </w:rPr>
        <w:t>».</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Создание «Цифрового профиля» для </w:t>
      </w:r>
      <w:proofErr w:type="spellStart"/>
      <w:r w:rsidRPr="000537CC">
        <w:rPr>
          <w:rFonts w:ascii="Times New Roman" w:hAnsi="Times New Roman" w:cs="Times New Roman"/>
          <w:sz w:val="24"/>
          <w:szCs w:val="24"/>
        </w:rPr>
        <w:t>юрлиц</w:t>
      </w:r>
      <w:proofErr w:type="spellEnd"/>
      <w:r w:rsidRPr="000537CC">
        <w:rPr>
          <w:rFonts w:ascii="Times New Roman" w:hAnsi="Times New Roman" w:cs="Times New Roman"/>
          <w:sz w:val="24"/>
          <w:szCs w:val="24"/>
        </w:rPr>
        <w:t xml:space="preserve"> сократит количество необходимых действий для открытия предпринимателем счета, позволит ему управлять данными о бизнесе в режиме онлайн, а также повысит безопасность при обмене сведениями, считают в крымском РНКБ. В </w:t>
      </w:r>
      <w:proofErr w:type="spellStart"/>
      <w:r w:rsidRPr="000537CC">
        <w:rPr>
          <w:rFonts w:ascii="Times New Roman" w:hAnsi="Times New Roman" w:cs="Times New Roman"/>
          <w:sz w:val="24"/>
          <w:szCs w:val="24"/>
        </w:rPr>
        <w:t>Совкомбанке</w:t>
      </w:r>
      <w:proofErr w:type="spellEnd"/>
      <w:r w:rsidRPr="000537CC">
        <w:rPr>
          <w:rFonts w:ascii="Times New Roman" w:hAnsi="Times New Roman" w:cs="Times New Roman"/>
          <w:sz w:val="24"/>
          <w:szCs w:val="24"/>
        </w:rPr>
        <w:t xml:space="preserve"> добавили, что технология позволит сократить документооборот.</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 «Цифровой профиль» </w:t>
      </w:r>
      <w:proofErr w:type="spellStart"/>
      <w:r w:rsidRPr="000537CC">
        <w:rPr>
          <w:rFonts w:ascii="Times New Roman" w:hAnsi="Times New Roman" w:cs="Times New Roman"/>
          <w:sz w:val="24"/>
          <w:szCs w:val="24"/>
        </w:rPr>
        <w:t>юрлица</w:t>
      </w:r>
      <w:proofErr w:type="spellEnd"/>
      <w:r w:rsidRPr="000537CC">
        <w:rPr>
          <w:rFonts w:ascii="Times New Roman" w:hAnsi="Times New Roman" w:cs="Times New Roman"/>
          <w:sz w:val="24"/>
          <w:szCs w:val="24"/>
        </w:rPr>
        <w:t xml:space="preserve"> минимизирует риск фальсификации документов. Что касается сокращения отказов в обслуживании, связанных с «</w:t>
      </w:r>
      <w:proofErr w:type="spellStart"/>
      <w:r w:rsidRPr="000537CC">
        <w:rPr>
          <w:rFonts w:ascii="Times New Roman" w:hAnsi="Times New Roman" w:cs="Times New Roman"/>
          <w:sz w:val="24"/>
          <w:szCs w:val="24"/>
        </w:rPr>
        <w:t>антиотмывочным</w:t>
      </w:r>
      <w:proofErr w:type="spellEnd"/>
      <w:r w:rsidRPr="000537CC">
        <w:rPr>
          <w:rFonts w:ascii="Times New Roman" w:hAnsi="Times New Roman" w:cs="Times New Roman"/>
          <w:sz w:val="24"/>
          <w:szCs w:val="24"/>
        </w:rPr>
        <w:t xml:space="preserve">» законом, то проект сможет показать свою эффективность после синхронизации с разрабатываемой ЦБ платформой «Знай своего клиента». Кроме того, отказы могут быть сокращены с учетом оперативного получения информации, которая </w:t>
      </w:r>
      <w:r w:rsidRPr="000537CC">
        <w:rPr>
          <w:rFonts w:ascii="Times New Roman" w:hAnsi="Times New Roman" w:cs="Times New Roman"/>
          <w:sz w:val="24"/>
          <w:szCs w:val="24"/>
        </w:rPr>
        <w:lastRenderedPageBreak/>
        <w:t>ранее предоставлялась более сложным и долгим способом, — подчеркнули в банке «Зенит».</w:t>
      </w:r>
    </w:p>
    <w:p w:rsidR="00CC642C" w:rsidRPr="000537CC" w:rsidRDefault="000537C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 </w:t>
      </w:r>
      <w:r w:rsidR="00CC642C" w:rsidRPr="000537CC">
        <w:rPr>
          <w:rFonts w:ascii="Times New Roman" w:hAnsi="Times New Roman" w:cs="Times New Roman"/>
          <w:sz w:val="24"/>
          <w:szCs w:val="24"/>
        </w:rPr>
        <w:t xml:space="preserve">«Цифровой профиль» будет удобен для компаний, поскольку им не придется собирать документы (например, из налоговой инспекции), если всю информацию можно будет получить через личный кабинет налогоплательщика или с сайта </w:t>
      </w:r>
      <w:proofErr w:type="spellStart"/>
      <w:r w:rsidR="00CC642C" w:rsidRPr="000537CC">
        <w:rPr>
          <w:rFonts w:ascii="Times New Roman" w:hAnsi="Times New Roman" w:cs="Times New Roman"/>
          <w:sz w:val="24"/>
          <w:szCs w:val="24"/>
        </w:rPr>
        <w:t>госуслуг</w:t>
      </w:r>
      <w:proofErr w:type="spellEnd"/>
      <w:r w:rsidR="00CC642C" w:rsidRPr="000537CC">
        <w:rPr>
          <w:rFonts w:ascii="Times New Roman" w:hAnsi="Times New Roman" w:cs="Times New Roman"/>
          <w:sz w:val="24"/>
          <w:szCs w:val="24"/>
        </w:rPr>
        <w:t>, считает первый вице-президент «Опоры России» Павел Сигал.</w:t>
      </w:r>
    </w:p>
    <w:p w:rsidR="00CC642C" w:rsidRDefault="00CC642C" w:rsidP="00CC642C">
      <w:pPr>
        <w:pStyle w:val="a3"/>
        <w:ind w:firstLine="1134"/>
        <w:rPr>
          <w:rFonts w:ascii="Times New Roman" w:hAnsi="Times New Roman" w:cs="Times New Roman"/>
          <w:sz w:val="24"/>
          <w:szCs w:val="24"/>
        </w:rPr>
      </w:pPr>
    </w:p>
    <w:p w:rsidR="00CC642C" w:rsidRPr="000537CC" w:rsidRDefault="00CC642C" w:rsidP="00CC642C">
      <w:pPr>
        <w:pStyle w:val="a3"/>
        <w:ind w:firstLine="1134"/>
        <w:rPr>
          <w:rFonts w:ascii="Times New Roman" w:hAnsi="Times New Roman" w:cs="Times New Roman"/>
          <w:sz w:val="24"/>
          <w:szCs w:val="24"/>
        </w:rPr>
      </w:pPr>
    </w:p>
    <w:p w:rsidR="000537CC" w:rsidRPr="000537CC" w:rsidRDefault="000537CC" w:rsidP="000537CC">
      <w:pPr>
        <w:pStyle w:val="a3"/>
        <w:ind w:firstLine="1134"/>
        <w:rPr>
          <w:rFonts w:ascii="Times New Roman" w:hAnsi="Times New Roman" w:cs="Times New Roman"/>
          <w:b/>
          <w:sz w:val="24"/>
          <w:szCs w:val="24"/>
        </w:rPr>
      </w:pPr>
      <w:r w:rsidRPr="000537CC">
        <w:rPr>
          <w:rFonts w:ascii="Times New Roman" w:hAnsi="Times New Roman" w:cs="Times New Roman"/>
          <w:b/>
          <w:sz w:val="24"/>
          <w:szCs w:val="24"/>
        </w:rPr>
        <w:t>ТПП планирует протестировать "кадровый барометр МСП" в регионах России в 2021 году</w:t>
      </w:r>
    </w:p>
    <w:p w:rsidR="00CC642C" w:rsidRPr="000537CC" w:rsidRDefault="00BB04A5" w:rsidP="00CC642C">
      <w:pPr>
        <w:pStyle w:val="a3"/>
        <w:ind w:firstLine="1134"/>
        <w:rPr>
          <w:rFonts w:ascii="Times New Roman" w:hAnsi="Times New Roman" w:cs="Times New Roman"/>
          <w:sz w:val="24"/>
          <w:szCs w:val="24"/>
        </w:rPr>
      </w:pPr>
      <w:hyperlink r:id="rId6" w:history="1">
        <w:r w:rsidR="000537CC" w:rsidRPr="00783762">
          <w:rPr>
            <w:rStyle w:val="a5"/>
            <w:rFonts w:ascii="Times New Roman" w:hAnsi="Times New Roman" w:cs="Times New Roman"/>
            <w:sz w:val="24"/>
            <w:szCs w:val="24"/>
          </w:rPr>
          <w:t>https://tass.ru/ekonomika/10447347</w:t>
        </w:r>
      </w:hyperlink>
      <w:r w:rsidR="000537CC">
        <w:rPr>
          <w:rFonts w:ascii="Times New Roman" w:hAnsi="Times New Roman" w:cs="Times New Roman"/>
          <w:sz w:val="24"/>
          <w:szCs w:val="24"/>
        </w:rPr>
        <w:t xml:space="preserve"> </w:t>
      </w:r>
    </w:p>
    <w:p w:rsid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Торгово-промышленная палата (ТПП) России планирует создать и протестировать "кадровый барометр МСП" в нескольких регионах России в 2021 году, а в случае успешного опыта предлагать систему на федеральном уровне. </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Инициативу создать "кадровый барометр МСП" глава ТПП России </w:t>
      </w:r>
      <w:r w:rsidR="000537CC" w:rsidRPr="000537CC">
        <w:rPr>
          <w:rFonts w:ascii="Times New Roman" w:hAnsi="Times New Roman" w:cs="Times New Roman"/>
          <w:sz w:val="24"/>
          <w:szCs w:val="24"/>
        </w:rPr>
        <w:t xml:space="preserve">Сергей </w:t>
      </w:r>
      <w:proofErr w:type="spellStart"/>
      <w:r w:rsidR="000537CC" w:rsidRPr="000537CC">
        <w:rPr>
          <w:rFonts w:ascii="Times New Roman" w:hAnsi="Times New Roman" w:cs="Times New Roman"/>
          <w:sz w:val="24"/>
          <w:szCs w:val="24"/>
        </w:rPr>
        <w:t>Катырин</w:t>
      </w:r>
      <w:proofErr w:type="spellEnd"/>
      <w:r w:rsidR="000537CC">
        <w:rPr>
          <w:rFonts w:ascii="Times New Roman" w:hAnsi="Times New Roman" w:cs="Times New Roman"/>
          <w:sz w:val="24"/>
          <w:szCs w:val="24"/>
        </w:rPr>
        <w:t xml:space="preserve"> </w:t>
      </w:r>
      <w:r w:rsidRPr="000537CC">
        <w:rPr>
          <w:rFonts w:ascii="Times New Roman" w:hAnsi="Times New Roman" w:cs="Times New Roman"/>
          <w:sz w:val="24"/>
          <w:szCs w:val="24"/>
        </w:rPr>
        <w:t xml:space="preserve">выдвинул на встрече с премьер-министром РФ Михаилом </w:t>
      </w:r>
      <w:proofErr w:type="spellStart"/>
      <w:r w:rsidRPr="000537CC">
        <w:rPr>
          <w:rFonts w:ascii="Times New Roman" w:hAnsi="Times New Roman" w:cs="Times New Roman"/>
          <w:sz w:val="24"/>
          <w:szCs w:val="24"/>
        </w:rPr>
        <w:t>Мишустиным</w:t>
      </w:r>
      <w:proofErr w:type="spellEnd"/>
      <w:r w:rsidRPr="000537CC">
        <w:rPr>
          <w:rFonts w:ascii="Times New Roman" w:hAnsi="Times New Roman" w:cs="Times New Roman"/>
          <w:sz w:val="24"/>
          <w:szCs w:val="24"/>
        </w:rPr>
        <w:t xml:space="preserve"> 8 января. Согласно проекту, агрегированная информация от предпринимателей должна выявлять потребности представителей малого и среднего бизнеса в сотрудниках, которые требуются для их предприятий. </w:t>
      </w:r>
      <w:proofErr w:type="spellStart"/>
      <w:r w:rsidRPr="000537CC">
        <w:rPr>
          <w:rFonts w:ascii="Times New Roman" w:hAnsi="Times New Roman" w:cs="Times New Roman"/>
          <w:sz w:val="24"/>
          <w:szCs w:val="24"/>
        </w:rPr>
        <w:t>Мишустин</w:t>
      </w:r>
      <w:proofErr w:type="spellEnd"/>
      <w:r w:rsidRPr="000537CC">
        <w:rPr>
          <w:rFonts w:ascii="Times New Roman" w:hAnsi="Times New Roman" w:cs="Times New Roman"/>
          <w:sz w:val="24"/>
          <w:szCs w:val="24"/>
        </w:rPr>
        <w:t xml:space="preserve"> положительно оценил идею, заявив о возможности совместной работы над ее реализацией.</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"Кадровый барометр поможет понять, какие специальности в регионе более востребованы, каких специалистов нужно готовить и в каком количестве. Я думаю, что бизнес вместе с государственными органами и образовательной системой мог бы определять, какие профессиональные кадры должны приходить на предприятия внутри региона, чтобы работников при трудоустройстве не нужно было переподготавливать. Мы в течение этого года постараемся выстроить эту систему, в пилотных регионах попробовать ее. А </w:t>
      </w:r>
      <w:proofErr w:type="spellStart"/>
      <w:r w:rsidRPr="000537CC">
        <w:rPr>
          <w:rFonts w:ascii="Times New Roman" w:hAnsi="Times New Roman" w:cs="Times New Roman"/>
          <w:sz w:val="24"/>
          <w:szCs w:val="24"/>
        </w:rPr>
        <w:t>по-серьезному</w:t>
      </w:r>
      <w:proofErr w:type="spellEnd"/>
      <w:r w:rsidRPr="000537CC">
        <w:rPr>
          <w:rFonts w:ascii="Times New Roman" w:hAnsi="Times New Roman" w:cs="Times New Roman"/>
          <w:sz w:val="24"/>
          <w:szCs w:val="24"/>
        </w:rPr>
        <w:t xml:space="preserve"> со следующего года она могла бы заработать", - сказал </w:t>
      </w:r>
      <w:proofErr w:type="spellStart"/>
      <w:r w:rsidRPr="000537CC">
        <w:rPr>
          <w:rFonts w:ascii="Times New Roman" w:hAnsi="Times New Roman" w:cs="Times New Roman"/>
          <w:sz w:val="24"/>
          <w:szCs w:val="24"/>
        </w:rPr>
        <w:t>Катырин</w:t>
      </w:r>
      <w:proofErr w:type="spellEnd"/>
      <w:r w:rsidRPr="000537CC">
        <w:rPr>
          <w:rFonts w:ascii="Times New Roman" w:hAnsi="Times New Roman" w:cs="Times New Roman"/>
          <w:sz w:val="24"/>
          <w:szCs w:val="24"/>
        </w:rPr>
        <w:t>.</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По его словам, проект планируется реализовать, вовлекая торгово-промышленные палаты в регионах России. В первую очередь, отметил он, необходимо "найти общий язык с органами власти на местах, в ведении которых находятся профессионально-технические училища, техникумы, профильные школы".</w:t>
      </w:r>
    </w:p>
    <w:p w:rsidR="00CC642C" w:rsidRPr="000537CC" w:rsidRDefault="00CC642C" w:rsidP="00CC642C">
      <w:pPr>
        <w:pStyle w:val="a3"/>
        <w:ind w:firstLine="1134"/>
        <w:rPr>
          <w:rFonts w:ascii="Times New Roman" w:hAnsi="Times New Roman" w:cs="Times New Roman"/>
          <w:sz w:val="24"/>
          <w:szCs w:val="24"/>
        </w:rPr>
      </w:pPr>
    </w:p>
    <w:p w:rsidR="00CC642C" w:rsidRPr="000537CC" w:rsidRDefault="00CC642C" w:rsidP="00CC642C">
      <w:pPr>
        <w:pStyle w:val="a3"/>
        <w:ind w:firstLine="1134"/>
        <w:rPr>
          <w:rFonts w:ascii="Times New Roman" w:hAnsi="Times New Roman" w:cs="Times New Roman"/>
          <w:sz w:val="24"/>
          <w:szCs w:val="24"/>
        </w:rPr>
      </w:pPr>
    </w:p>
    <w:p w:rsidR="000537CC" w:rsidRPr="000537CC" w:rsidRDefault="000537CC" w:rsidP="000537CC">
      <w:pPr>
        <w:pStyle w:val="a3"/>
        <w:ind w:firstLine="1134"/>
        <w:rPr>
          <w:rFonts w:ascii="Times New Roman" w:hAnsi="Times New Roman" w:cs="Times New Roman"/>
          <w:b/>
          <w:sz w:val="24"/>
          <w:szCs w:val="24"/>
        </w:rPr>
      </w:pPr>
      <w:r w:rsidRPr="000537CC">
        <w:rPr>
          <w:rFonts w:ascii="Times New Roman" w:hAnsi="Times New Roman" w:cs="Times New Roman"/>
          <w:b/>
          <w:sz w:val="24"/>
          <w:szCs w:val="24"/>
        </w:rPr>
        <w:t>Белый дом уточнил, под какие проекты он готов списывать региональные долги</w:t>
      </w:r>
    </w:p>
    <w:p w:rsidR="00CC642C" w:rsidRPr="000537CC" w:rsidRDefault="00BB04A5" w:rsidP="00CC642C">
      <w:pPr>
        <w:pStyle w:val="a3"/>
        <w:ind w:firstLine="1134"/>
        <w:rPr>
          <w:rFonts w:ascii="Times New Roman" w:hAnsi="Times New Roman" w:cs="Times New Roman"/>
          <w:sz w:val="24"/>
          <w:szCs w:val="24"/>
        </w:rPr>
      </w:pPr>
      <w:hyperlink r:id="rId7" w:history="1">
        <w:r w:rsidR="000537CC" w:rsidRPr="00783762">
          <w:rPr>
            <w:rStyle w:val="a5"/>
            <w:rFonts w:ascii="Times New Roman" w:hAnsi="Times New Roman" w:cs="Times New Roman"/>
            <w:sz w:val="24"/>
            <w:szCs w:val="24"/>
          </w:rPr>
          <w:t>https://www.kommersant.ru/doc/4641024</w:t>
        </w:r>
      </w:hyperlink>
      <w:r w:rsidR="000537CC">
        <w:rPr>
          <w:rFonts w:ascii="Times New Roman" w:hAnsi="Times New Roman" w:cs="Times New Roman"/>
          <w:sz w:val="24"/>
          <w:szCs w:val="24"/>
        </w:rPr>
        <w:t xml:space="preserve"> </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Правительство утвердило критерии отбора инфраструктурных проектов в рамках нового механизма привлечения региональных инвестиций</w:t>
      </w:r>
      <w:r w:rsidR="000537CC">
        <w:rPr>
          <w:rFonts w:ascii="Times New Roman" w:hAnsi="Times New Roman" w:cs="Times New Roman"/>
          <w:sz w:val="24"/>
          <w:szCs w:val="24"/>
        </w:rPr>
        <w:t>. Р</w:t>
      </w:r>
      <w:r w:rsidRPr="000537CC">
        <w:rPr>
          <w:rFonts w:ascii="Times New Roman" w:hAnsi="Times New Roman" w:cs="Times New Roman"/>
          <w:sz w:val="24"/>
          <w:szCs w:val="24"/>
        </w:rPr>
        <w:t xml:space="preserve">ечь идет о снижении нагрузки на региональные бюджеты за счет реструктуризации федеральных бюджетных кредитов в обмен на вложения регионов в создание инфраструктуры для новых </w:t>
      </w:r>
      <w:proofErr w:type="spellStart"/>
      <w:r w:rsidRPr="000537CC">
        <w:rPr>
          <w:rFonts w:ascii="Times New Roman" w:hAnsi="Times New Roman" w:cs="Times New Roman"/>
          <w:sz w:val="24"/>
          <w:szCs w:val="24"/>
        </w:rPr>
        <w:t>инвестпроектов</w:t>
      </w:r>
      <w:proofErr w:type="spellEnd"/>
      <w:r w:rsidRPr="000537CC">
        <w:rPr>
          <w:rFonts w:ascii="Times New Roman" w:hAnsi="Times New Roman" w:cs="Times New Roman"/>
          <w:sz w:val="24"/>
          <w:szCs w:val="24"/>
        </w:rPr>
        <w:t xml:space="preserve"> (строительства или реконструкции объектов транспортной, энергетической и коммунальной инфраструктуры, а также подключения сооружений к инженерным сетям).</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Поясним, в 2020 году правительство внесло поправки в бюджетное законодательство, продлевающие срок погашения реструктурированной задолженности по федеральным бюджетным кредитам. Освободившиеся в 2020 году средства регионы могли направить на ликвидацию последствий </w:t>
      </w:r>
      <w:proofErr w:type="spellStart"/>
      <w:r w:rsidRPr="000537CC">
        <w:rPr>
          <w:rFonts w:ascii="Times New Roman" w:hAnsi="Times New Roman" w:cs="Times New Roman"/>
          <w:sz w:val="24"/>
          <w:szCs w:val="24"/>
        </w:rPr>
        <w:t>коронавируса</w:t>
      </w:r>
      <w:proofErr w:type="spellEnd"/>
      <w:r w:rsidRPr="000537CC">
        <w:rPr>
          <w:rFonts w:ascii="Times New Roman" w:hAnsi="Times New Roman" w:cs="Times New Roman"/>
          <w:sz w:val="24"/>
          <w:szCs w:val="24"/>
        </w:rPr>
        <w:t xml:space="preserve"> и компенсацию снижения доходов региональных бюджетов на фоне кризиса. С 2021 года высвобожденные таким образом средства регионы смогут направлять на создание инфраструктуры для </w:t>
      </w:r>
      <w:proofErr w:type="spellStart"/>
      <w:r w:rsidRPr="000537CC">
        <w:rPr>
          <w:rFonts w:ascii="Times New Roman" w:hAnsi="Times New Roman" w:cs="Times New Roman"/>
          <w:sz w:val="24"/>
          <w:szCs w:val="24"/>
        </w:rPr>
        <w:t>инвестпроектов</w:t>
      </w:r>
      <w:proofErr w:type="spellEnd"/>
      <w:r w:rsidRPr="000537CC">
        <w:rPr>
          <w:rFonts w:ascii="Times New Roman" w:hAnsi="Times New Roman" w:cs="Times New Roman"/>
          <w:sz w:val="24"/>
          <w:szCs w:val="24"/>
        </w:rPr>
        <w:t xml:space="preserve"> — при этом правительство выразило готовность списывать задолженность регионов по кредитам в зависимости от объема поступлений в </w:t>
      </w:r>
      <w:r w:rsidRPr="000537CC">
        <w:rPr>
          <w:rFonts w:ascii="Times New Roman" w:hAnsi="Times New Roman" w:cs="Times New Roman"/>
          <w:sz w:val="24"/>
          <w:szCs w:val="24"/>
        </w:rPr>
        <w:lastRenderedPageBreak/>
        <w:t xml:space="preserve">федеральный бюджет налогов от новых </w:t>
      </w:r>
      <w:proofErr w:type="spellStart"/>
      <w:r w:rsidRPr="000537CC">
        <w:rPr>
          <w:rFonts w:ascii="Times New Roman" w:hAnsi="Times New Roman" w:cs="Times New Roman"/>
          <w:sz w:val="24"/>
          <w:szCs w:val="24"/>
        </w:rPr>
        <w:t>инвестпроектов</w:t>
      </w:r>
      <w:proofErr w:type="spellEnd"/>
      <w:r w:rsidRPr="000537CC">
        <w:rPr>
          <w:rFonts w:ascii="Times New Roman" w:hAnsi="Times New Roman" w:cs="Times New Roman"/>
          <w:sz w:val="24"/>
          <w:szCs w:val="24"/>
        </w:rPr>
        <w:t>. По условиям правительственного постановления, такие проекты могут реализовываться в АПК, добыче полезных ископаемых (за исключением нефти и газа), обрабатывающих производствах (кроме производства подакцизных товаров и др.), туристской и логистической отрасли, дорожном и жилищном строительстве и др.</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В Минэкономики оценивают возможный объем высвободившихся в результате реструктуризации средств более чем в 400 млрд руб. до 2024 года.</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При этом, как пояснили “Ъ” в ведомстве, регионами уже заявлено для инфраструктурной поддержки более 200 проектов на сумму более 1 трлн руб. Ажиотажный спрос, вероятно, вызван доступностью такой господдержки. Так, сейчас утверждено всего два критерия отбора инфраструктурных проектов: это стоимость проекта (не менее 50 млн руб.) и соотношение частных и бюджетных инвестиций (пока не конкретизировано). В правительстве рассчитывают на </w:t>
      </w:r>
      <w:proofErr w:type="spellStart"/>
      <w:r w:rsidRPr="000537CC">
        <w:rPr>
          <w:rFonts w:ascii="Times New Roman" w:hAnsi="Times New Roman" w:cs="Times New Roman"/>
          <w:sz w:val="24"/>
          <w:szCs w:val="24"/>
        </w:rPr>
        <w:t>донастройку</w:t>
      </w:r>
      <w:proofErr w:type="spellEnd"/>
      <w:r w:rsidRPr="000537CC">
        <w:rPr>
          <w:rFonts w:ascii="Times New Roman" w:hAnsi="Times New Roman" w:cs="Times New Roman"/>
          <w:sz w:val="24"/>
          <w:szCs w:val="24"/>
        </w:rPr>
        <w:t xml:space="preserve"> механизма в зависимости от заявочной кампании.</w:t>
      </w:r>
    </w:p>
    <w:p w:rsidR="00CC642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«Для первичного отбора </w:t>
      </w:r>
      <w:proofErr w:type="spellStart"/>
      <w:r w:rsidRPr="000537CC">
        <w:rPr>
          <w:rFonts w:ascii="Times New Roman" w:hAnsi="Times New Roman" w:cs="Times New Roman"/>
          <w:sz w:val="24"/>
          <w:szCs w:val="24"/>
        </w:rPr>
        <w:t>инвестпроектов</w:t>
      </w:r>
      <w:proofErr w:type="spellEnd"/>
      <w:r w:rsidRPr="000537CC">
        <w:rPr>
          <w:rFonts w:ascii="Times New Roman" w:hAnsi="Times New Roman" w:cs="Times New Roman"/>
          <w:sz w:val="24"/>
          <w:szCs w:val="24"/>
        </w:rPr>
        <w:t xml:space="preserve"> утверждены универсальные для всех регионов критерии, которые позволяют широкому кругу регионов заявить предварительную потребность для использования механизма. В ходе дальнейшего анализа перечень проектов будет уточнен с учетом их качества и готовности к реализации, а также бюджетных возможностей регионов и влияния проектов на социально-экономическое развитие»,— пояснили “Ъ” в Минэкономики.</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Ранее эксперты выражали сомнения в эффективности инструмента из-за ограниченных средств регионов для поддержки новых проектов в условиях </w:t>
      </w:r>
      <w:proofErr w:type="spellStart"/>
      <w:r w:rsidRPr="000537CC">
        <w:rPr>
          <w:rFonts w:ascii="Times New Roman" w:hAnsi="Times New Roman" w:cs="Times New Roman"/>
          <w:sz w:val="24"/>
          <w:szCs w:val="24"/>
        </w:rPr>
        <w:t>коронавирусной</w:t>
      </w:r>
      <w:proofErr w:type="spellEnd"/>
      <w:r w:rsidRPr="000537CC">
        <w:rPr>
          <w:rFonts w:ascii="Times New Roman" w:hAnsi="Times New Roman" w:cs="Times New Roman"/>
          <w:sz w:val="24"/>
          <w:szCs w:val="24"/>
        </w:rPr>
        <w:t xml:space="preserve"> реальности. Впрочем, запуск инфраструктурных проектов может поддержать другой инструмент поддержки инвестиций, гарантирующий бизнесу неизменность регуляторной среды,— речь идет о масштабировании на регионы соглашений о защите и поощрении капиталовложений (СЗПК).</w:t>
      </w:r>
    </w:p>
    <w:p w:rsidR="00CC642C" w:rsidRPr="000537CC" w:rsidRDefault="00CC642C" w:rsidP="00CC642C">
      <w:pPr>
        <w:pStyle w:val="a3"/>
        <w:ind w:firstLine="1134"/>
        <w:rPr>
          <w:rFonts w:ascii="Times New Roman" w:hAnsi="Times New Roman" w:cs="Times New Roman"/>
          <w:sz w:val="24"/>
          <w:szCs w:val="24"/>
        </w:rPr>
      </w:pPr>
    </w:p>
    <w:p w:rsidR="00CC642C" w:rsidRPr="000537CC" w:rsidRDefault="00CC642C" w:rsidP="00CC642C">
      <w:pPr>
        <w:pStyle w:val="a3"/>
        <w:ind w:firstLine="1134"/>
        <w:rPr>
          <w:rFonts w:ascii="Times New Roman" w:hAnsi="Times New Roman" w:cs="Times New Roman"/>
          <w:sz w:val="24"/>
          <w:szCs w:val="24"/>
        </w:rPr>
      </w:pPr>
    </w:p>
    <w:p w:rsidR="000537CC" w:rsidRPr="000537CC" w:rsidRDefault="000537CC" w:rsidP="000537CC">
      <w:pPr>
        <w:pStyle w:val="a3"/>
        <w:ind w:firstLine="1134"/>
        <w:rPr>
          <w:rFonts w:ascii="Times New Roman" w:hAnsi="Times New Roman" w:cs="Times New Roman"/>
          <w:b/>
          <w:sz w:val="24"/>
          <w:szCs w:val="24"/>
        </w:rPr>
      </w:pPr>
      <w:r w:rsidRPr="000537CC">
        <w:rPr>
          <w:rFonts w:ascii="Times New Roman" w:hAnsi="Times New Roman" w:cs="Times New Roman"/>
          <w:b/>
          <w:sz w:val="24"/>
          <w:szCs w:val="24"/>
        </w:rPr>
        <w:t>День работника прокуратуры отмечен кадровыми перестановками на высшем уровне</w:t>
      </w:r>
    </w:p>
    <w:p w:rsidR="00CC642C" w:rsidRPr="000537CC" w:rsidRDefault="00BB04A5" w:rsidP="00CC642C">
      <w:pPr>
        <w:pStyle w:val="a3"/>
        <w:ind w:firstLine="1134"/>
        <w:rPr>
          <w:rFonts w:ascii="Times New Roman" w:hAnsi="Times New Roman" w:cs="Times New Roman"/>
          <w:sz w:val="24"/>
          <w:szCs w:val="24"/>
        </w:rPr>
      </w:pPr>
      <w:hyperlink r:id="rId8" w:history="1">
        <w:r w:rsidR="000537CC" w:rsidRPr="00783762">
          <w:rPr>
            <w:rStyle w:val="a5"/>
            <w:rFonts w:ascii="Times New Roman" w:hAnsi="Times New Roman" w:cs="Times New Roman"/>
            <w:sz w:val="24"/>
            <w:szCs w:val="24"/>
          </w:rPr>
          <w:t>https://www.kommersant.ru/doc/4640996</w:t>
        </w:r>
      </w:hyperlink>
      <w:r w:rsidR="000537CC">
        <w:rPr>
          <w:rFonts w:ascii="Times New Roman" w:hAnsi="Times New Roman" w:cs="Times New Roman"/>
          <w:sz w:val="24"/>
          <w:szCs w:val="24"/>
        </w:rPr>
        <w:t xml:space="preserve"> </w:t>
      </w:r>
    </w:p>
    <w:p w:rsidR="00CC642C" w:rsidRPr="000537CC" w:rsidRDefault="000537CC" w:rsidP="00CC642C">
      <w:pPr>
        <w:pStyle w:val="a3"/>
        <w:ind w:firstLine="1134"/>
        <w:rPr>
          <w:rFonts w:ascii="Times New Roman" w:hAnsi="Times New Roman" w:cs="Times New Roman"/>
          <w:sz w:val="24"/>
          <w:szCs w:val="24"/>
        </w:rPr>
      </w:pPr>
      <w:r>
        <w:rPr>
          <w:rFonts w:ascii="Times New Roman" w:hAnsi="Times New Roman" w:cs="Times New Roman"/>
          <w:sz w:val="24"/>
          <w:szCs w:val="24"/>
        </w:rPr>
        <w:t>Н</w:t>
      </w:r>
      <w:r w:rsidR="00CC642C" w:rsidRPr="000537CC">
        <w:rPr>
          <w:rFonts w:ascii="Times New Roman" w:hAnsi="Times New Roman" w:cs="Times New Roman"/>
          <w:sz w:val="24"/>
          <w:szCs w:val="24"/>
        </w:rPr>
        <w:t>акануне Дня работника прокуратуры генпрокурор Игорь Краснов перераспределил полномочия между своими заместителями. В Москву был переведен замгенпрокурора Игорь Ткачев, курировавший Уральский федеральный округ (</w:t>
      </w:r>
      <w:proofErr w:type="spellStart"/>
      <w:r w:rsidR="00CC642C" w:rsidRPr="000537CC">
        <w:rPr>
          <w:rFonts w:ascii="Times New Roman" w:hAnsi="Times New Roman" w:cs="Times New Roman"/>
          <w:sz w:val="24"/>
          <w:szCs w:val="24"/>
        </w:rPr>
        <w:t>УрФО</w:t>
      </w:r>
      <w:proofErr w:type="spellEnd"/>
      <w:r w:rsidR="00CC642C" w:rsidRPr="000537CC">
        <w:rPr>
          <w:rFonts w:ascii="Times New Roman" w:hAnsi="Times New Roman" w:cs="Times New Roman"/>
          <w:sz w:val="24"/>
          <w:szCs w:val="24"/>
        </w:rPr>
        <w:t xml:space="preserve">), который теперь будет отвечать за работу управлений надзорного ведомства, связанных с судебной системой. Надзирать же за следствием в центральных аппаратах СКР и МВД предстоит выходцу из Следственного комитета Анатолию </w:t>
      </w:r>
      <w:proofErr w:type="spellStart"/>
      <w:r w:rsidR="00CC642C" w:rsidRPr="000537CC">
        <w:rPr>
          <w:rFonts w:ascii="Times New Roman" w:hAnsi="Times New Roman" w:cs="Times New Roman"/>
          <w:sz w:val="24"/>
          <w:szCs w:val="24"/>
        </w:rPr>
        <w:t>Разинкину</w:t>
      </w:r>
      <w:proofErr w:type="spellEnd"/>
      <w:r w:rsidR="00CC642C" w:rsidRPr="000537CC">
        <w:rPr>
          <w:rFonts w:ascii="Times New Roman" w:hAnsi="Times New Roman" w:cs="Times New Roman"/>
          <w:sz w:val="24"/>
          <w:szCs w:val="24"/>
        </w:rPr>
        <w:t>, получившему в последнее время самый широкий круг полномочий.</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Приказ Игоря Краснова о перераспределении полномочий последовал за отставкой 1 января в связи с достижением 70-летнего, предельного для службы возраста заместителя генпрокурора Виктора </w:t>
      </w:r>
      <w:proofErr w:type="spellStart"/>
      <w:r w:rsidRPr="000537CC">
        <w:rPr>
          <w:rFonts w:ascii="Times New Roman" w:hAnsi="Times New Roman" w:cs="Times New Roman"/>
          <w:sz w:val="24"/>
          <w:szCs w:val="24"/>
        </w:rPr>
        <w:t>Гриня</w:t>
      </w:r>
      <w:proofErr w:type="spellEnd"/>
      <w:r w:rsidRPr="000537CC">
        <w:rPr>
          <w:rFonts w:ascii="Times New Roman" w:hAnsi="Times New Roman" w:cs="Times New Roman"/>
          <w:sz w:val="24"/>
          <w:szCs w:val="24"/>
        </w:rPr>
        <w:t xml:space="preserve">. С 2006 года господин </w:t>
      </w:r>
      <w:proofErr w:type="spellStart"/>
      <w:r w:rsidRPr="000537CC">
        <w:rPr>
          <w:rFonts w:ascii="Times New Roman" w:hAnsi="Times New Roman" w:cs="Times New Roman"/>
          <w:sz w:val="24"/>
          <w:szCs w:val="24"/>
        </w:rPr>
        <w:t>Гринь</w:t>
      </w:r>
      <w:proofErr w:type="spellEnd"/>
      <w:r w:rsidRPr="000537CC">
        <w:rPr>
          <w:rFonts w:ascii="Times New Roman" w:hAnsi="Times New Roman" w:cs="Times New Roman"/>
          <w:sz w:val="24"/>
          <w:szCs w:val="24"/>
        </w:rPr>
        <w:t xml:space="preserve"> надзирал за следствием, а в прошлом году, после увольнения замгенпрокурора Леонида </w:t>
      </w:r>
      <w:proofErr w:type="spellStart"/>
      <w:r w:rsidRPr="000537CC">
        <w:rPr>
          <w:rFonts w:ascii="Times New Roman" w:hAnsi="Times New Roman" w:cs="Times New Roman"/>
          <w:sz w:val="24"/>
          <w:szCs w:val="24"/>
        </w:rPr>
        <w:t>Коржинека</w:t>
      </w:r>
      <w:proofErr w:type="spellEnd"/>
      <w:r w:rsidRPr="000537CC">
        <w:rPr>
          <w:rFonts w:ascii="Times New Roman" w:hAnsi="Times New Roman" w:cs="Times New Roman"/>
          <w:sz w:val="24"/>
          <w:szCs w:val="24"/>
        </w:rPr>
        <w:t>, он также получил под контроль деятельность главного уголовно-судебного и главного гражданско-судебного управлений Генпрокуратуры.</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По данным источников “Ъ”, взаимодействие с судебной системой господин Краснов поручил своему заместителю в </w:t>
      </w:r>
      <w:proofErr w:type="spellStart"/>
      <w:r w:rsidRPr="000537CC">
        <w:rPr>
          <w:rFonts w:ascii="Times New Roman" w:hAnsi="Times New Roman" w:cs="Times New Roman"/>
          <w:sz w:val="24"/>
          <w:szCs w:val="24"/>
        </w:rPr>
        <w:t>УрФО</w:t>
      </w:r>
      <w:proofErr w:type="spellEnd"/>
      <w:r w:rsidRPr="000537CC">
        <w:rPr>
          <w:rFonts w:ascii="Times New Roman" w:hAnsi="Times New Roman" w:cs="Times New Roman"/>
          <w:sz w:val="24"/>
          <w:szCs w:val="24"/>
        </w:rPr>
        <w:t xml:space="preserve"> Игорю Ткачеву, который в свое время возглавлял расследование теракта в Беслане.</w:t>
      </w: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Урал вместо господина Ткачева будет курировать замгенпрокурора в Приволжском федеральном округе Сергей Зайцев. Место последнего получил замгенпрокурора Николай Шишкин, курировавший Сибирский федеральный округ, а СФО достался Дмитрию Демешину, надзирающему также за Дальневосточным федеральным округом.</w:t>
      </w:r>
    </w:p>
    <w:p w:rsidR="00CC642C" w:rsidRPr="000537CC" w:rsidRDefault="00CC642C" w:rsidP="00CC642C">
      <w:pPr>
        <w:pStyle w:val="a3"/>
        <w:ind w:firstLine="1134"/>
        <w:rPr>
          <w:rFonts w:ascii="Times New Roman" w:hAnsi="Times New Roman" w:cs="Times New Roman"/>
          <w:sz w:val="24"/>
          <w:szCs w:val="24"/>
        </w:rPr>
      </w:pPr>
    </w:p>
    <w:p w:rsidR="00CC642C" w:rsidRPr="000537CC" w:rsidRDefault="00CC642C" w:rsidP="00CC642C">
      <w:pPr>
        <w:pStyle w:val="a3"/>
        <w:ind w:firstLine="1134"/>
        <w:rPr>
          <w:rFonts w:ascii="Times New Roman" w:hAnsi="Times New Roman" w:cs="Times New Roman"/>
          <w:sz w:val="24"/>
          <w:szCs w:val="24"/>
        </w:rPr>
      </w:pPr>
      <w:r w:rsidRPr="000537CC">
        <w:rPr>
          <w:rFonts w:ascii="Times New Roman" w:hAnsi="Times New Roman" w:cs="Times New Roman"/>
          <w:sz w:val="24"/>
          <w:szCs w:val="24"/>
        </w:rPr>
        <w:t xml:space="preserve">Главные же функции, которые выполнял в Генпрокуратуре Виктор </w:t>
      </w:r>
      <w:proofErr w:type="spellStart"/>
      <w:r w:rsidRPr="000537CC">
        <w:rPr>
          <w:rFonts w:ascii="Times New Roman" w:hAnsi="Times New Roman" w:cs="Times New Roman"/>
          <w:sz w:val="24"/>
          <w:szCs w:val="24"/>
        </w:rPr>
        <w:t>Гринь</w:t>
      </w:r>
      <w:proofErr w:type="spellEnd"/>
      <w:r w:rsidRPr="000537CC">
        <w:rPr>
          <w:rFonts w:ascii="Times New Roman" w:hAnsi="Times New Roman" w:cs="Times New Roman"/>
          <w:sz w:val="24"/>
          <w:szCs w:val="24"/>
        </w:rPr>
        <w:t xml:space="preserve"> — контроль за уголовными делами, которые находятся в производстве главного следственного управления и управления по расследованию особо важных дел (ГУРОВД) СКР, а также следственного департамента МВД </w:t>
      </w:r>
      <w:proofErr w:type="gramStart"/>
      <w:r w:rsidRPr="000537CC">
        <w:rPr>
          <w:rFonts w:ascii="Times New Roman" w:hAnsi="Times New Roman" w:cs="Times New Roman"/>
          <w:sz w:val="24"/>
          <w:szCs w:val="24"/>
        </w:rPr>
        <w:t>России,—</w:t>
      </w:r>
      <w:proofErr w:type="gramEnd"/>
      <w:r w:rsidRPr="000537CC">
        <w:rPr>
          <w:rFonts w:ascii="Times New Roman" w:hAnsi="Times New Roman" w:cs="Times New Roman"/>
          <w:sz w:val="24"/>
          <w:szCs w:val="24"/>
        </w:rPr>
        <w:t xml:space="preserve"> Игорь Краснов поручил Анатолию </w:t>
      </w:r>
      <w:proofErr w:type="spellStart"/>
      <w:r w:rsidRPr="000537CC">
        <w:rPr>
          <w:rFonts w:ascii="Times New Roman" w:hAnsi="Times New Roman" w:cs="Times New Roman"/>
          <w:sz w:val="24"/>
          <w:szCs w:val="24"/>
        </w:rPr>
        <w:t>Разинкину</w:t>
      </w:r>
      <w:proofErr w:type="spellEnd"/>
      <w:r w:rsidRPr="000537CC">
        <w:rPr>
          <w:rFonts w:ascii="Times New Roman" w:hAnsi="Times New Roman" w:cs="Times New Roman"/>
          <w:sz w:val="24"/>
          <w:szCs w:val="24"/>
        </w:rPr>
        <w:t xml:space="preserve">. До этого выходец из СКР </w:t>
      </w:r>
      <w:proofErr w:type="spellStart"/>
      <w:r w:rsidRPr="000537CC">
        <w:rPr>
          <w:rFonts w:ascii="Times New Roman" w:hAnsi="Times New Roman" w:cs="Times New Roman"/>
          <w:sz w:val="24"/>
          <w:szCs w:val="24"/>
        </w:rPr>
        <w:t>Разинкин</w:t>
      </w:r>
      <w:proofErr w:type="spellEnd"/>
      <w:r w:rsidRPr="000537CC">
        <w:rPr>
          <w:rFonts w:ascii="Times New Roman" w:hAnsi="Times New Roman" w:cs="Times New Roman"/>
          <w:sz w:val="24"/>
          <w:szCs w:val="24"/>
        </w:rPr>
        <w:t xml:space="preserve"> являлся куратором главного управления по надзору за следствием и оперативно-</w:t>
      </w:r>
      <w:proofErr w:type="spellStart"/>
      <w:r w:rsidRPr="000537CC">
        <w:rPr>
          <w:rFonts w:ascii="Times New Roman" w:hAnsi="Times New Roman" w:cs="Times New Roman"/>
          <w:sz w:val="24"/>
          <w:szCs w:val="24"/>
        </w:rPr>
        <w:t>разыскной</w:t>
      </w:r>
      <w:proofErr w:type="spellEnd"/>
      <w:r w:rsidRPr="000537CC">
        <w:rPr>
          <w:rFonts w:ascii="Times New Roman" w:hAnsi="Times New Roman" w:cs="Times New Roman"/>
          <w:sz w:val="24"/>
          <w:szCs w:val="24"/>
        </w:rPr>
        <w:t xml:space="preserve"> деятельностью, управления по надзору за соблюдением законов о федеральной безопасности, противодействия экстремизму и терроризму, а также управления по надзору за оборонно-промышленным комплексом.</w:t>
      </w:r>
    </w:p>
    <w:p w:rsidR="00CC642C" w:rsidRDefault="00CC642C" w:rsidP="00CC642C">
      <w:pPr>
        <w:pStyle w:val="a3"/>
        <w:ind w:firstLine="1134"/>
        <w:rPr>
          <w:rFonts w:ascii="Times New Roman" w:hAnsi="Times New Roman" w:cs="Times New Roman"/>
          <w:sz w:val="24"/>
          <w:szCs w:val="24"/>
        </w:rPr>
      </w:pPr>
    </w:p>
    <w:p w:rsidR="000537CC" w:rsidRPr="000537CC" w:rsidRDefault="000537CC" w:rsidP="00CC642C">
      <w:pPr>
        <w:pStyle w:val="a3"/>
        <w:ind w:firstLine="1134"/>
        <w:rPr>
          <w:rFonts w:ascii="Times New Roman" w:hAnsi="Times New Roman" w:cs="Times New Roman"/>
          <w:sz w:val="24"/>
          <w:szCs w:val="24"/>
        </w:rPr>
      </w:pPr>
    </w:p>
    <w:sectPr w:rsidR="000537CC" w:rsidRPr="000537CC" w:rsidSect="00A16BC0">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C8"/>
    <w:rsid w:val="000537CC"/>
    <w:rsid w:val="007C24C8"/>
    <w:rsid w:val="00BB04A5"/>
    <w:rsid w:val="00CC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D3BB0-9C53-48E2-987B-024627F3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16BC0"/>
    <w:pPr>
      <w:spacing w:after="0" w:line="240" w:lineRule="auto"/>
    </w:pPr>
    <w:rPr>
      <w:rFonts w:ascii="Consolas" w:hAnsi="Consolas"/>
      <w:sz w:val="21"/>
      <w:szCs w:val="21"/>
    </w:rPr>
  </w:style>
  <w:style w:type="character" w:customStyle="1" w:styleId="a4">
    <w:name w:val="Текст Знак"/>
    <w:basedOn w:val="a0"/>
    <w:link w:val="a3"/>
    <w:uiPriority w:val="99"/>
    <w:rsid w:val="00A16BC0"/>
    <w:rPr>
      <w:rFonts w:ascii="Consolas" w:hAnsi="Consolas"/>
      <w:sz w:val="21"/>
      <w:szCs w:val="21"/>
    </w:rPr>
  </w:style>
  <w:style w:type="character" w:styleId="a5">
    <w:name w:val="Hyperlink"/>
    <w:basedOn w:val="a0"/>
    <w:uiPriority w:val="99"/>
    <w:unhideWhenUsed/>
    <w:rsid w:val="00053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640996" TargetMode="External"/><Relationship Id="rId3" Type="http://schemas.openxmlformats.org/officeDocument/2006/relationships/webSettings" Target="webSettings.xml"/><Relationship Id="rId7" Type="http://schemas.openxmlformats.org/officeDocument/2006/relationships/hyperlink" Target="https://www.kommersant.ru/doc/4641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ss.ru/ekonomika/10447347" TargetMode="External"/><Relationship Id="rId5" Type="http://schemas.openxmlformats.org/officeDocument/2006/relationships/hyperlink" Target="https://iz.ru/1110406/natalia-ilina/vykhodiat-v-shliuz-v-rf-nachnut-rabotu-nad-tcifrovym-profilem-kompanii" TargetMode="External"/><Relationship Id="rId10" Type="http://schemas.openxmlformats.org/officeDocument/2006/relationships/theme" Target="theme/theme1.xml"/><Relationship Id="rId4" Type="http://schemas.openxmlformats.org/officeDocument/2006/relationships/hyperlink" Target="https://www.rbc.ru/finances/13/01/2021/5ffda8c39a79477cd000206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2021-07-12T04:09:00Z</dcterms:created>
  <dcterms:modified xsi:type="dcterms:W3CDTF">2021-07-12T04:09:00Z</dcterms:modified>
</cp:coreProperties>
</file>