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96" w:rsidRPr="00266B96" w:rsidRDefault="00266B96" w:rsidP="00266B96">
      <w:pPr>
        <w:pStyle w:val="a3"/>
        <w:tabs>
          <w:tab w:val="left" w:pos="1276"/>
        </w:tabs>
        <w:ind w:firstLine="1134"/>
        <w:rPr>
          <w:rFonts w:ascii="Times New Roman" w:hAnsi="Times New Roman" w:cs="Times New Roman"/>
          <w:b/>
          <w:sz w:val="24"/>
          <w:szCs w:val="24"/>
        </w:rPr>
      </w:pPr>
      <w:bookmarkStart w:id="0" w:name="_GoBack"/>
      <w:bookmarkEnd w:id="0"/>
      <w:r w:rsidRPr="00266B96">
        <w:rPr>
          <w:rFonts w:ascii="Times New Roman" w:hAnsi="Times New Roman" w:cs="Times New Roman"/>
          <w:b/>
          <w:sz w:val="24"/>
          <w:szCs w:val="24"/>
        </w:rPr>
        <w:t>Из небольших застройщиков кредиты в банках получает лишь каждый десятый</w:t>
      </w:r>
    </w:p>
    <w:p w:rsidR="00170E64" w:rsidRPr="003D3DDB" w:rsidRDefault="0025058C" w:rsidP="003D3DDB">
      <w:pPr>
        <w:pStyle w:val="a3"/>
        <w:tabs>
          <w:tab w:val="left" w:pos="1276"/>
        </w:tabs>
        <w:ind w:firstLine="1134"/>
        <w:rPr>
          <w:rFonts w:ascii="Times New Roman" w:hAnsi="Times New Roman" w:cs="Times New Roman"/>
          <w:sz w:val="24"/>
          <w:szCs w:val="24"/>
        </w:rPr>
      </w:pPr>
      <w:hyperlink r:id="rId4" w:history="1">
        <w:r w:rsidR="00266B96" w:rsidRPr="00CA7E92">
          <w:rPr>
            <w:rStyle w:val="a5"/>
            <w:rFonts w:ascii="Times New Roman" w:hAnsi="Times New Roman" w:cs="Times New Roman"/>
            <w:sz w:val="24"/>
            <w:szCs w:val="24"/>
          </w:rPr>
          <w:t>https://rg.ru/2021/03/01/iz-nebolshih-zastrojshchikov-kredity-v-bankah-poluchaet-lish-kazhdyj-desiatyj.html</w:t>
        </w:r>
      </w:hyperlink>
      <w:r w:rsidR="00266B96">
        <w:rPr>
          <w:rFonts w:ascii="Times New Roman" w:hAnsi="Times New Roman" w:cs="Times New Roman"/>
          <w:sz w:val="24"/>
          <w:szCs w:val="24"/>
        </w:rPr>
        <w:t xml:space="preserve"> </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Только каждый десятый из малых российских застройщиков сумел получить проектное финансирование на заявленную сумму. Об этом свидетельствуют данные опроса руководителей 104 небольших строительных компаний из 57 регионов, который был проведен аппаратом омбудсмена по нацпроектам в сфере градостроительной политики Елены Киселевой.</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 xml:space="preserve">43% компаний обращались за проектным финансированием в банки, устно проконсультировались 28%. Из числа тех, кто подавал заявку на проектное финансирование, одобрение банка на указанную в заявке сумму кредита получили 25%. Одобрение на меньшую сумму - 34%, еще 41% компаний получили отказ в проектном финансировании. Самые частые причины отказа - недостаток опыта застройщика, недостаток собственных средств, низкая </w:t>
      </w:r>
      <w:proofErr w:type="spellStart"/>
      <w:r w:rsidRPr="003D3DDB">
        <w:rPr>
          <w:rFonts w:ascii="Times New Roman" w:hAnsi="Times New Roman" w:cs="Times New Roman"/>
          <w:sz w:val="24"/>
          <w:szCs w:val="24"/>
        </w:rPr>
        <w:t>маржинальность</w:t>
      </w:r>
      <w:proofErr w:type="spellEnd"/>
      <w:r w:rsidRPr="003D3DDB">
        <w:rPr>
          <w:rFonts w:ascii="Times New Roman" w:hAnsi="Times New Roman" w:cs="Times New Roman"/>
          <w:sz w:val="24"/>
          <w:szCs w:val="24"/>
        </w:rPr>
        <w:t xml:space="preserve"> проекта, отсутствие необходимого обеспечения исполнения обязательств по кредиту.</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Средний срок от подачи заявки на выдачу кредита до его фактического получения, по данным опроса, чаще всего составлял от трех до шести месяцев. У пятой части респондентов это длилось 45 до 90 дней, еще столько же указали срок от 30 до 45 дней. Только 8% опрошенных уложились в срок от 5 до 10 дней.</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Сейчас у 39% компаний нет проектов, готовых к выводу на рынок, но они находятся в процессе подготовки. 35% готовы выводить новые проекты, у 16% таких проектов "нет и не будет", еще 10% только думают над новыми проектами.</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Среди причин, по которым застройщики не выставляют новые проекты на продажу - неприемлемые расходы на оплату банковских и связанных с ними услуг при проектном финансировании (33%), неприемлемые условия по обеспечению кредита (29%), неприемлемые риски снижения спроса (19%), отсутствуют земельные участки (18%), требуется время для изменения сложившейся схемы работы компании (1%).</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Данные исследования говорят о том, что проектное финансирование доступно в основном крупным застройщикам, отмечает Киселева. "Уже сейчас надо вносить изменения в критерии допуска застройщиков к проектному финансированию, - считает она. - Необходимо упростить требования кредитных организаций к подаче документов и сократить сроки рассмотрения заявок на проектное финансирование", - отметила она.</w:t>
      </w:r>
    </w:p>
    <w:p w:rsidR="00170E64" w:rsidRDefault="00170E64" w:rsidP="003D3DDB">
      <w:pPr>
        <w:pStyle w:val="a3"/>
        <w:tabs>
          <w:tab w:val="left" w:pos="1276"/>
        </w:tabs>
        <w:ind w:firstLine="1134"/>
        <w:rPr>
          <w:rFonts w:ascii="Times New Roman" w:hAnsi="Times New Roman" w:cs="Times New Roman"/>
          <w:sz w:val="24"/>
          <w:szCs w:val="24"/>
        </w:rPr>
      </w:pPr>
    </w:p>
    <w:p w:rsidR="00170E64" w:rsidRPr="003D3DDB" w:rsidRDefault="00170E64" w:rsidP="003D3DDB">
      <w:pPr>
        <w:pStyle w:val="a3"/>
        <w:tabs>
          <w:tab w:val="left" w:pos="1276"/>
        </w:tabs>
        <w:ind w:firstLine="1134"/>
        <w:rPr>
          <w:rFonts w:ascii="Times New Roman" w:hAnsi="Times New Roman" w:cs="Times New Roman"/>
          <w:sz w:val="24"/>
          <w:szCs w:val="24"/>
        </w:rPr>
      </w:pPr>
    </w:p>
    <w:p w:rsidR="00266B96" w:rsidRPr="00266B96" w:rsidRDefault="00266B96" w:rsidP="00266B96">
      <w:pPr>
        <w:pStyle w:val="a3"/>
        <w:tabs>
          <w:tab w:val="left" w:pos="1276"/>
        </w:tabs>
        <w:ind w:firstLine="1134"/>
        <w:rPr>
          <w:rFonts w:ascii="Times New Roman" w:hAnsi="Times New Roman" w:cs="Times New Roman"/>
          <w:b/>
          <w:sz w:val="24"/>
          <w:szCs w:val="24"/>
        </w:rPr>
      </w:pPr>
      <w:r w:rsidRPr="00266B96">
        <w:rPr>
          <w:rFonts w:ascii="Times New Roman" w:hAnsi="Times New Roman" w:cs="Times New Roman"/>
          <w:b/>
          <w:sz w:val="24"/>
          <w:szCs w:val="24"/>
        </w:rPr>
        <w:t>У россиян насчитали больше «свободных денег». Разница между доходами и тратами рекордно выросла</w:t>
      </w:r>
    </w:p>
    <w:p w:rsidR="00170E64" w:rsidRPr="003D3DDB" w:rsidRDefault="0025058C" w:rsidP="003D3DDB">
      <w:pPr>
        <w:pStyle w:val="a3"/>
        <w:tabs>
          <w:tab w:val="left" w:pos="1276"/>
        </w:tabs>
        <w:ind w:firstLine="1134"/>
        <w:rPr>
          <w:rFonts w:ascii="Times New Roman" w:hAnsi="Times New Roman" w:cs="Times New Roman"/>
          <w:sz w:val="24"/>
          <w:szCs w:val="24"/>
        </w:rPr>
      </w:pPr>
      <w:hyperlink r:id="rId5" w:history="1">
        <w:r w:rsidR="00266B96" w:rsidRPr="00CA7E92">
          <w:rPr>
            <w:rStyle w:val="a5"/>
            <w:rFonts w:ascii="Times New Roman" w:hAnsi="Times New Roman" w:cs="Times New Roman"/>
            <w:sz w:val="24"/>
            <w:szCs w:val="24"/>
          </w:rPr>
          <w:t>https://iz.ru/1131176/anna-kaledina/utrata-raskhoda-u-rossiian-naschitali-bolshe-svobodnykh-deneg</w:t>
        </w:r>
      </w:hyperlink>
      <w:r w:rsidR="00266B96">
        <w:rPr>
          <w:rFonts w:ascii="Times New Roman" w:hAnsi="Times New Roman" w:cs="Times New Roman"/>
          <w:sz w:val="24"/>
          <w:szCs w:val="24"/>
        </w:rPr>
        <w:t xml:space="preserve"> </w:t>
      </w:r>
    </w:p>
    <w:p w:rsidR="00266B96" w:rsidRDefault="00266B96" w:rsidP="00266B96">
      <w:pPr>
        <w:pStyle w:val="a3"/>
        <w:tabs>
          <w:tab w:val="left" w:pos="1276"/>
        </w:tabs>
        <w:ind w:firstLine="1134"/>
        <w:rPr>
          <w:rFonts w:ascii="Times New Roman" w:hAnsi="Times New Roman" w:cs="Times New Roman"/>
          <w:sz w:val="24"/>
          <w:szCs w:val="24"/>
        </w:rPr>
      </w:pPr>
      <w:r>
        <w:rPr>
          <w:rFonts w:ascii="Times New Roman" w:hAnsi="Times New Roman" w:cs="Times New Roman"/>
          <w:sz w:val="24"/>
          <w:szCs w:val="24"/>
        </w:rPr>
        <w:t xml:space="preserve">По </w:t>
      </w:r>
      <w:r w:rsidRPr="003D3DDB">
        <w:rPr>
          <w:rFonts w:ascii="Times New Roman" w:hAnsi="Times New Roman" w:cs="Times New Roman"/>
          <w:sz w:val="24"/>
          <w:szCs w:val="24"/>
        </w:rPr>
        <w:t>данны</w:t>
      </w:r>
      <w:r>
        <w:rPr>
          <w:rFonts w:ascii="Times New Roman" w:hAnsi="Times New Roman" w:cs="Times New Roman"/>
          <w:sz w:val="24"/>
          <w:szCs w:val="24"/>
        </w:rPr>
        <w:t>м</w:t>
      </w:r>
      <w:r w:rsidRPr="003D3DDB">
        <w:rPr>
          <w:rFonts w:ascii="Times New Roman" w:hAnsi="Times New Roman" w:cs="Times New Roman"/>
          <w:sz w:val="24"/>
          <w:szCs w:val="24"/>
        </w:rPr>
        <w:t xml:space="preserve"> исследовательского холдинга «</w:t>
      </w:r>
      <w:proofErr w:type="spellStart"/>
      <w:r w:rsidRPr="003D3DDB">
        <w:rPr>
          <w:rFonts w:ascii="Times New Roman" w:hAnsi="Times New Roman" w:cs="Times New Roman"/>
          <w:sz w:val="24"/>
          <w:szCs w:val="24"/>
        </w:rPr>
        <w:t>Ромир</w:t>
      </w:r>
      <w:proofErr w:type="spellEnd"/>
      <w:r w:rsidRPr="003D3DDB">
        <w:rPr>
          <w:rFonts w:ascii="Times New Roman" w:hAnsi="Times New Roman" w:cs="Times New Roman"/>
          <w:sz w:val="24"/>
          <w:szCs w:val="24"/>
        </w:rPr>
        <w:t>»</w:t>
      </w:r>
      <w:r>
        <w:rPr>
          <w:rFonts w:ascii="Times New Roman" w:hAnsi="Times New Roman" w:cs="Times New Roman"/>
          <w:sz w:val="24"/>
          <w:szCs w:val="24"/>
        </w:rPr>
        <w:t>, в</w:t>
      </w:r>
      <w:r w:rsidR="00170E64" w:rsidRPr="003D3DDB">
        <w:rPr>
          <w:rFonts w:ascii="Times New Roman" w:hAnsi="Times New Roman" w:cs="Times New Roman"/>
          <w:sz w:val="24"/>
          <w:szCs w:val="24"/>
        </w:rPr>
        <w:t xml:space="preserve"> первый месяц 2021 года в бюджетах россиян резко вырос индекс «свободных денег» — на 82% по сравнению с декабрем 2020-го. Речь о показателе, который демонстрирует динамику превышения доходов над расходами. </w:t>
      </w:r>
      <w:r w:rsidRPr="003D3DDB">
        <w:rPr>
          <w:rFonts w:ascii="Times New Roman" w:hAnsi="Times New Roman" w:cs="Times New Roman"/>
          <w:sz w:val="24"/>
          <w:szCs w:val="24"/>
        </w:rPr>
        <w:t>Более того, даже к январю 2019 года (точка отсчета индекса) рост составил 7%. </w:t>
      </w:r>
    </w:p>
    <w:p w:rsidR="00266B96" w:rsidRPr="003D3DDB" w:rsidRDefault="00266B96" w:rsidP="00266B96">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«Свободные деньги» в контексте исследования — это средства, которые остаются у домохозяйства после покупки необходимых продуктов питания, товаров повседневного спроса, оплаты жилищно-коммунальных, транспортных и других услуг, пояснили в холдинге.</w:t>
      </w:r>
    </w:p>
    <w:p w:rsidR="00170E64" w:rsidRPr="003D3DDB" w:rsidRDefault="00170E64" w:rsidP="00266B96">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Рекордное увеличение связано вовсе не с улучшением благосостояния, считают эксперты. «Свободные деньги» образовались из-за того, что в период неопределенности из-за пандемии и резкого скачка инфляции люди предпочитают не тратить, а формировать личные резервы.</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lastRenderedPageBreak/>
        <w:t>Частично такую резкую динамику января 2021-го к декабрю 2020-го можно объяснить сезонностью. В первый месяц года ИСД традиционно находится на пике — после предновогоднего потребительского ажиотажа граждане снижают свои траты. Однако в новой реальности изменение оказалось драматическим. Так, годом ранее рост ИСД в январе к декабрю составил 40%. Кроме того, показательным является и увеличение индекса в годовом выражении. Это уже невозможно объяснить сезонностью.</w:t>
      </w:r>
    </w:p>
    <w:p w:rsidR="00170E64" w:rsidRDefault="00170E64" w:rsidP="003D3DDB">
      <w:pPr>
        <w:pStyle w:val="a3"/>
        <w:tabs>
          <w:tab w:val="left" w:pos="1276"/>
        </w:tabs>
        <w:ind w:firstLine="1134"/>
        <w:rPr>
          <w:rFonts w:ascii="Times New Roman" w:hAnsi="Times New Roman" w:cs="Times New Roman"/>
          <w:sz w:val="24"/>
          <w:szCs w:val="24"/>
        </w:rPr>
      </w:pPr>
    </w:p>
    <w:p w:rsidR="00AD32C6" w:rsidRDefault="00AD32C6" w:rsidP="003D3DDB">
      <w:pPr>
        <w:pStyle w:val="a3"/>
        <w:tabs>
          <w:tab w:val="left" w:pos="1276"/>
        </w:tabs>
        <w:ind w:firstLine="1134"/>
        <w:rPr>
          <w:rFonts w:ascii="Times New Roman" w:hAnsi="Times New Roman" w:cs="Times New Roman"/>
          <w:sz w:val="24"/>
          <w:szCs w:val="24"/>
        </w:rPr>
      </w:pPr>
    </w:p>
    <w:p w:rsidR="00AD32C6" w:rsidRPr="00AD32C6" w:rsidRDefault="00AD32C6" w:rsidP="00AD32C6">
      <w:pPr>
        <w:pStyle w:val="a3"/>
        <w:tabs>
          <w:tab w:val="left" w:pos="1276"/>
        </w:tabs>
        <w:ind w:firstLine="1134"/>
        <w:rPr>
          <w:rFonts w:ascii="Times New Roman" w:hAnsi="Times New Roman" w:cs="Times New Roman"/>
          <w:b/>
          <w:sz w:val="24"/>
          <w:szCs w:val="24"/>
        </w:rPr>
      </w:pPr>
      <w:r w:rsidRPr="00AD32C6">
        <w:rPr>
          <w:rFonts w:ascii="Times New Roman" w:hAnsi="Times New Roman" w:cs="Times New Roman"/>
          <w:b/>
          <w:sz w:val="24"/>
          <w:szCs w:val="24"/>
        </w:rPr>
        <w:t>Правительство оптимизирует работу ПФР и ФСС</w:t>
      </w:r>
    </w:p>
    <w:p w:rsidR="00170E64" w:rsidRPr="003D3DDB" w:rsidRDefault="0025058C" w:rsidP="003D3DDB">
      <w:pPr>
        <w:pStyle w:val="a3"/>
        <w:tabs>
          <w:tab w:val="left" w:pos="1276"/>
        </w:tabs>
        <w:ind w:firstLine="1134"/>
        <w:rPr>
          <w:rFonts w:ascii="Times New Roman" w:hAnsi="Times New Roman" w:cs="Times New Roman"/>
          <w:sz w:val="24"/>
          <w:szCs w:val="24"/>
        </w:rPr>
      </w:pPr>
      <w:hyperlink r:id="rId6" w:history="1">
        <w:r w:rsidR="00AD32C6" w:rsidRPr="00CA7E92">
          <w:rPr>
            <w:rStyle w:val="a5"/>
            <w:rFonts w:ascii="Times New Roman" w:hAnsi="Times New Roman" w:cs="Times New Roman"/>
            <w:sz w:val="24"/>
            <w:szCs w:val="24"/>
          </w:rPr>
          <w:t>https://www.kommersant.ru/doc/4711416</w:t>
        </w:r>
      </w:hyperlink>
      <w:r w:rsidR="00AD32C6">
        <w:rPr>
          <w:rFonts w:ascii="Times New Roman" w:hAnsi="Times New Roman" w:cs="Times New Roman"/>
          <w:sz w:val="24"/>
          <w:szCs w:val="24"/>
        </w:rPr>
        <w:t xml:space="preserve"> </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 xml:space="preserve">Правительство представило концепцию цифровой трансформации социальной сферы до 2025 года. </w:t>
      </w:r>
      <w:r w:rsidR="00AD32C6">
        <w:rPr>
          <w:rFonts w:ascii="Times New Roman" w:hAnsi="Times New Roman" w:cs="Times New Roman"/>
          <w:sz w:val="24"/>
          <w:szCs w:val="24"/>
        </w:rPr>
        <w:t>Ее составной частью</w:t>
      </w:r>
      <w:r w:rsidRPr="003D3DDB">
        <w:rPr>
          <w:rFonts w:ascii="Times New Roman" w:hAnsi="Times New Roman" w:cs="Times New Roman"/>
          <w:sz w:val="24"/>
          <w:szCs w:val="24"/>
        </w:rPr>
        <w:t xml:space="preserve"> является реформа двух из трех внебюджетных фондов — ПФР и ФСС.</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Основой для реформирования процесса предоставления социальных услуг, согласно документу, станет создание единой централизованной цифровой платформы в социальной сфере.</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 xml:space="preserve">Она должна будет объединить все существующие сейчас профильные цифровые проекты: от электронного листка нетрудоспособности ФСС до выдачи электронного сертификата на материнский капитал ПФР, информационные системы Минтруда, ПФР, ФСС, а также учреждений медико-социальной экспертизы. В перспективе это позволит единой платформе сформировать реестр получателей социальных услуг, на основе которого станет возможным </w:t>
      </w:r>
      <w:proofErr w:type="spellStart"/>
      <w:r w:rsidRPr="003D3DDB">
        <w:rPr>
          <w:rFonts w:ascii="Times New Roman" w:hAnsi="Times New Roman" w:cs="Times New Roman"/>
          <w:sz w:val="24"/>
          <w:szCs w:val="24"/>
        </w:rPr>
        <w:t>проактивное</w:t>
      </w:r>
      <w:proofErr w:type="spellEnd"/>
      <w:r w:rsidRPr="003D3DDB">
        <w:rPr>
          <w:rFonts w:ascii="Times New Roman" w:hAnsi="Times New Roman" w:cs="Times New Roman"/>
          <w:sz w:val="24"/>
          <w:szCs w:val="24"/>
        </w:rPr>
        <w:t xml:space="preserve"> автоматическое предоставление мер поддержки.</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Для взаимодействия с их получателями на основе единой платформы появится единый контакт-центр взаимодействия с гражданами, а также личные кабинеты. Аналогичный реестр и личные кабинеты будут созданы и для страхователей (то есть для работодателей, уплачивающих социальные взносы) — они помогут учитывать их обязательства по отношению к застрахованным. Поэтапно на новую платформу будут переведены все процессы по назначению и предоставлению мер социальной поддержки — как федеральные, так и региональные. При этом функция назначения и выплаты последних остается в ведении властей субъектов только частично — управлять выплатой ряда региональных мер через единую платформу будет ПФР. Фонд начнет соответствующий пилотный проект с участием семи регионов уже в этом году. В результате к 2025 году, согласно целям концепции, россияне смогут получить 80% социальных услуг в электронном виде, время их ожидания должно будет сократиться в два раза, а число необходимых для оформления документов — на 60%.</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Обновленные центры их приема, работающие в режиме «одного окна», будут создаваться на базе объединенных региональных офисов ПФР и ФСС или местных МФЦ. Сами же федеральные фонды, как указано в концепции, ожидает реорганизация структуры и функций.</w:t>
      </w:r>
    </w:p>
    <w:p w:rsidR="00AD32C6" w:rsidRDefault="00AD32C6" w:rsidP="003D3DDB">
      <w:pPr>
        <w:pStyle w:val="a3"/>
        <w:tabs>
          <w:tab w:val="left" w:pos="1276"/>
        </w:tabs>
        <w:ind w:firstLine="1134"/>
        <w:rPr>
          <w:rFonts w:ascii="Times New Roman" w:hAnsi="Times New Roman" w:cs="Times New Roman"/>
          <w:sz w:val="24"/>
          <w:szCs w:val="24"/>
        </w:rPr>
      </w:pPr>
    </w:p>
    <w:p w:rsidR="00AD32C6" w:rsidRDefault="00AD32C6" w:rsidP="003D3DDB">
      <w:pPr>
        <w:pStyle w:val="a3"/>
        <w:tabs>
          <w:tab w:val="left" w:pos="1276"/>
        </w:tabs>
        <w:ind w:firstLine="1134"/>
        <w:rPr>
          <w:rFonts w:ascii="Times New Roman" w:hAnsi="Times New Roman" w:cs="Times New Roman"/>
          <w:sz w:val="24"/>
          <w:szCs w:val="24"/>
        </w:rPr>
      </w:pPr>
    </w:p>
    <w:p w:rsidR="00AD32C6" w:rsidRPr="00AD32C6" w:rsidRDefault="00AD32C6" w:rsidP="00AD32C6">
      <w:pPr>
        <w:pStyle w:val="a3"/>
        <w:tabs>
          <w:tab w:val="left" w:pos="1276"/>
        </w:tabs>
        <w:ind w:firstLine="1134"/>
        <w:rPr>
          <w:rFonts w:ascii="Times New Roman" w:hAnsi="Times New Roman" w:cs="Times New Roman"/>
          <w:b/>
          <w:sz w:val="24"/>
          <w:szCs w:val="24"/>
        </w:rPr>
      </w:pPr>
      <w:r w:rsidRPr="00AD32C6">
        <w:rPr>
          <w:rFonts w:ascii="Times New Roman" w:hAnsi="Times New Roman" w:cs="Times New Roman"/>
          <w:b/>
          <w:sz w:val="24"/>
          <w:szCs w:val="24"/>
        </w:rPr>
        <w:t>Малый и средний бизнес, оказавшийся в прошлом году из-за пандемии в тяжелом положении, увеличил долги перед банками</w:t>
      </w:r>
    </w:p>
    <w:p w:rsidR="00170E64" w:rsidRPr="003D3DDB" w:rsidRDefault="0025058C" w:rsidP="00AD32C6">
      <w:pPr>
        <w:pStyle w:val="a3"/>
        <w:tabs>
          <w:tab w:val="left" w:pos="1276"/>
        </w:tabs>
        <w:ind w:firstLine="1134"/>
        <w:rPr>
          <w:rFonts w:ascii="Times New Roman" w:hAnsi="Times New Roman" w:cs="Times New Roman"/>
          <w:sz w:val="24"/>
          <w:szCs w:val="24"/>
        </w:rPr>
      </w:pPr>
      <w:hyperlink r:id="rId7" w:history="1">
        <w:r w:rsidR="00AD32C6" w:rsidRPr="00CA7E92">
          <w:rPr>
            <w:rStyle w:val="a5"/>
            <w:rFonts w:ascii="Times New Roman" w:hAnsi="Times New Roman" w:cs="Times New Roman"/>
            <w:sz w:val="24"/>
            <w:szCs w:val="24"/>
          </w:rPr>
          <w:t>https://www.kommersant.ru/doc/4711488</w:t>
        </w:r>
      </w:hyperlink>
      <w:r w:rsidR="00AD32C6">
        <w:rPr>
          <w:rFonts w:ascii="Times New Roman" w:hAnsi="Times New Roman" w:cs="Times New Roman"/>
          <w:sz w:val="24"/>
          <w:szCs w:val="24"/>
        </w:rPr>
        <w:t xml:space="preserve"> </w:t>
      </w:r>
    </w:p>
    <w:p w:rsidR="00170E64" w:rsidRPr="003D3DDB" w:rsidRDefault="00AD32C6" w:rsidP="003D3DDB">
      <w:pPr>
        <w:pStyle w:val="a3"/>
        <w:tabs>
          <w:tab w:val="left" w:pos="1276"/>
        </w:tabs>
        <w:ind w:firstLine="1134"/>
        <w:rPr>
          <w:rFonts w:ascii="Times New Roman" w:hAnsi="Times New Roman" w:cs="Times New Roman"/>
          <w:sz w:val="24"/>
          <w:szCs w:val="24"/>
        </w:rPr>
      </w:pPr>
      <w:r>
        <w:rPr>
          <w:rFonts w:ascii="Times New Roman" w:hAnsi="Times New Roman" w:cs="Times New Roman"/>
          <w:sz w:val="24"/>
          <w:szCs w:val="24"/>
        </w:rPr>
        <w:t xml:space="preserve">Как </w:t>
      </w:r>
      <w:r w:rsidR="00170E64" w:rsidRPr="003D3DDB">
        <w:rPr>
          <w:rFonts w:ascii="Times New Roman" w:hAnsi="Times New Roman" w:cs="Times New Roman"/>
          <w:sz w:val="24"/>
          <w:szCs w:val="24"/>
        </w:rPr>
        <w:t xml:space="preserve">следует из предварительных расчетов </w:t>
      </w:r>
      <w:r>
        <w:rPr>
          <w:rFonts w:ascii="Times New Roman" w:hAnsi="Times New Roman" w:cs="Times New Roman"/>
          <w:sz w:val="24"/>
          <w:szCs w:val="24"/>
        </w:rPr>
        <w:t xml:space="preserve">агентства </w:t>
      </w:r>
      <w:r w:rsidR="00170E64" w:rsidRPr="003D3DDB">
        <w:rPr>
          <w:rFonts w:ascii="Times New Roman" w:hAnsi="Times New Roman" w:cs="Times New Roman"/>
          <w:sz w:val="24"/>
          <w:szCs w:val="24"/>
        </w:rPr>
        <w:t>«Эксперт РА»</w:t>
      </w:r>
      <w:r>
        <w:rPr>
          <w:rFonts w:ascii="Times New Roman" w:hAnsi="Times New Roman" w:cs="Times New Roman"/>
          <w:sz w:val="24"/>
          <w:szCs w:val="24"/>
        </w:rPr>
        <w:t>, о</w:t>
      </w:r>
      <w:r w:rsidR="00170E64" w:rsidRPr="003D3DDB">
        <w:rPr>
          <w:rFonts w:ascii="Times New Roman" w:hAnsi="Times New Roman" w:cs="Times New Roman"/>
          <w:sz w:val="24"/>
          <w:szCs w:val="24"/>
        </w:rPr>
        <w:t>бщий портфель кредитов МСБ за 2020 год вырос на 23% (их задолженность достигла 5,8 трлн руб. против 4,7 трлн руб. годом ранее), став рекордным с 2012 года.</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 xml:space="preserve">В то же время выдачи кредитов МСБ за прошлый год составили 7,6 трлн руб., показав снижение на 2% год к году. Не менее 1,4 трлн руб.— около 18% от всех выдач — пришлось на льготные ссуды, поясняют в «Эксперт РА». Без них сегмент кредитования МСБ «показал бы существенный спад». По данным Объединенного кредитного бюро </w:t>
      </w:r>
      <w:r w:rsidRPr="003D3DDB">
        <w:rPr>
          <w:rFonts w:ascii="Times New Roman" w:hAnsi="Times New Roman" w:cs="Times New Roman"/>
          <w:sz w:val="24"/>
          <w:szCs w:val="24"/>
        </w:rPr>
        <w:lastRenderedPageBreak/>
        <w:t xml:space="preserve">(ОКБ) и </w:t>
      </w:r>
      <w:proofErr w:type="spellStart"/>
      <w:r w:rsidRPr="003D3DDB">
        <w:rPr>
          <w:rFonts w:ascii="Times New Roman" w:hAnsi="Times New Roman" w:cs="Times New Roman"/>
          <w:sz w:val="24"/>
          <w:szCs w:val="24"/>
        </w:rPr>
        <w:t>Frank</w:t>
      </w:r>
      <w:proofErr w:type="spellEnd"/>
      <w:r w:rsidRPr="003D3DDB">
        <w:rPr>
          <w:rFonts w:ascii="Times New Roman" w:hAnsi="Times New Roman" w:cs="Times New Roman"/>
          <w:sz w:val="24"/>
          <w:szCs w:val="24"/>
        </w:rPr>
        <w:t xml:space="preserve"> RG, в 2020 году более 80% всех льготных кредитов были выданы микро- и малому бизнесу.</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 xml:space="preserve">В итоге 8,2% кредитного портфеля МСБ были сформированы за счет льготных выдач, указывают ОКБ и </w:t>
      </w:r>
      <w:proofErr w:type="spellStart"/>
      <w:r w:rsidRPr="003D3DDB">
        <w:rPr>
          <w:rFonts w:ascii="Times New Roman" w:hAnsi="Times New Roman" w:cs="Times New Roman"/>
          <w:sz w:val="24"/>
          <w:szCs w:val="24"/>
        </w:rPr>
        <w:t>Frank</w:t>
      </w:r>
      <w:proofErr w:type="spellEnd"/>
      <w:r w:rsidRPr="003D3DDB">
        <w:rPr>
          <w:rFonts w:ascii="Times New Roman" w:hAnsi="Times New Roman" w:cs="Times New Roman"/>
          <w:sz w:val="24"/>
          <w:szCs w:val="24"/>
        </w:rPr>
        <w:t xml:space="preserve"> RG, самый большой объем — 12,6% — в портфеле </w:t>
      </w:r>
      <w:proofErr w:type="spellStart"/>
      <w:r w:rsidRPr="003D3DDB">
        <w:rPr>
          <w:rFonts w:ascii="Times New Roman" w:hAnsi="Times New Roman" w:cs="Times New Roman"/>
          <w:sz w:val="24"/>
          <w:szCs w:val="24"/>
        </w:rPr>
        <w:t>микробизнеса</w:t>
      </w:r>
      <w:proofErr w:type="spellEnd"/>
      <w:r w:rsidRPr="003D3DDB">
        <w:rPr>
          <w:rFonts w:ascii="Times New Roman" w:hAnsi="Times New Roman" w:cs="Times New Roman"/>
          <w:sz w:val="24"/>
          <w:szCs w:val="24"/>
        </w:rPr>
        <w:t>, у малого — 7,9%, среднего — 4,6%.</w:t>
      </w:r>
    </w:p>
    <w:p w:rsidR="00170E64" w:rsidRDefault="00170E64" w:rsidP="003D3DDB">
      <w:pPr>
        <w:pStyle w:val="a3"/>
        <w:tabs>
          <w:tab w:val="left" w:pos="1276"/>
        </w:tabs>
        <w:ind w:firstLine="1134"/>
        <w:rPr>
          <w:rFonts w:ascii="Times New Roman" w:hAnsi="Times New Roman" w:cs="Times New Roman"/>
          <w:sz w:val="24"/>
          <w:szCs w:val="24"/>
        </w:rPr>
      </w:pPr>
    </w:p>
    <w:p w:rsidR="00170E64" w:rsidRDefault="00170E64" w:rsidP="003D3DDB">
      <w:pPr>
        <w:pStyle w:val="a3"/>
        <w:tabs>
          <w:tab w:val="left" w:pos="1276"/>
        </w:tabs>
        <w:ind w:firstLine="1134"/>
        <w:rPr>
          <w:rFonts w:ascii="Times New Roman" w:hAnsi="Times New Roman" w:cs="Times New Roman"/>
          <w:sz w:val="24"/>
          <w:szCs w:val="24"/>
        </w:rPr>
      </w:pPr>
    </w:p>
    <w:p w:rsidR="00AD32C6" w:rsidRPr="00AD32C6" w:rsidRDefault="00AD32C6" w:rsidP="00AD32C6">
      <w:pPr>
        <w:pStyle w:val="a3"/>
        <w:tabs>
          <w:tab w:val="left" w:pos="1276"/>
        </w:tabs>
        <w:ind w:firstLine="1134"/>
        <w:rPr>
          <w:rFonts w:ascii="Times New Roman" w:hAnsi="Times New Roman" w:cs="Times New Roman"/>
          <w:b/>
          <w:sz w:val="24"/>
          <w:szCs w:val="24"/>
        </w:rPr>
      </w:pPr>
      <w:r w:rsidRPr="00AD32C6">
        <w:rPr>
          <w:rFonts w:ascii="Times New Roman" w:hAnsi="Times New Roman" w:cs="Times New Roman"/>
          <w:b/>
          <w:sz w:val="24"/>
          <w:szCs w:val="24"/>
        </w:rPr>
        <w:t xml:space="preserve">В правительстве создана рабочая группа по управлению данными в сфере контрольно-надзорной деятельности под руководством вице-премьера Дмитрия Григоренко </w:t>
      </w:r>
    </w:p>
    <w:p w:rsidR="00170E64" w:rsidRPr="003D3DDB" w:rsidRDefault="0025058C" w:rsidP="003D3DDB">
      <w:pPr>
        <w:pStyle w:val="a3"/>
        <w:tabs>
          <w:tab w:val="left" w:pos="1276"/>
        </w:tabs>
        <w:ind w:firstLine="1134"/>
        <w:rPr>
          <w:rFonts w:ascii="Times New Roman" w:hAnsi="Times New Roman" w:cs="Times New Roman"/>
          <w:sz w:val="24"/>
          <w:szCs w:val="24"/>
        </w:rPr>
      </w:pPr>
      <w:hyperlink r:id="rId8" w:history="1">
        <w:r w:rsidR="00AD32C6" w:rsidRPr="00CA7E92">
          <w:rPr>
            <w:rStyle w:val="a5"/>
            <w:rFonts w:ascii="Times New Roman" w:hAnsi="Times New Roman" w:cs="Times New Roman"/>
            <w:sz w:val="24"/>
            <w:szCs w:val="24"/>
          </w:rPr>
          <w:t>https://www.kommersant.ru/doc/4711511</w:t>
        </w:r>
      </w:hyperlink>
      <w:r w:rsidR="00AD32C6">
        <w:rPr>
          <w:rFonts w:ascii="Times New Roman" w:hAnsi="Times New Roman" w:cs="Times New Roman"/>
          <w:sz w:val="24"/>
          <w:szCs w:val="24"/>
        </w:rPr>
        <w:t xml:space="preserve"> </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 xml:space="preserve">Михаил </w:t>
      </w:r>
      <w:proofErr w:type="spellStart"/>
      <w:r w:rsidRPr="003D3DDB">
        <w:rPr>
          <w:rFonts w:ascii="Times New Roman" w:hAnsi="Times New Roman" w:cs="Times New Roman"/>
          <w:sz w:val="24"/>
          <w:szCs w:val="24"/>
        </w:rPr>
        <w:t>Мишустин</w:t>
      </w:r>
      <w:proofErr w:type="spellEnd"/>
      <w:r w:rsidRPr="003D3DDB">
        <w:rPr>
          <w:rFonts w:ascii="Times New Roman" w:hAnsi="Times New Roman" w:cs="Times New Roman"/>
          <w:sz w:val="24"/>
          <w:szCs w:val="24"/>
        </w:rPr>
        <w:t xml:space="preserve"> подписал распоряжение о создании межведомственной рабочей группы по формированию системы управления данными в сфере контрольно-надзорной деятельности. Возглавит ее вице-премьер, руководитель аппарата правительства Дмитрий Григоренко.</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Предполагается, что группа разработает единые подходы к формированию таких данных, что обеспечит автоматизацию мониторинга КНД.</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 xml:space="preserve">В число участников на первом этапе, кроме профильного департамента правительства и ответственного за реформу Минэкономики, войдут также </w:t>
      </w:r>
      <w:proofErr w:type="spellStart"/>
      <w:r w:rsidRPr="003D3DDB">
        <w:rPr>
          <w:rFonts w:ascii="Times New Roman" w:hAnsi="Times New Roman" w:cs="Times New Roman"/>
          <w:sz w:val="24"/>
          <w:szCs w:val="24"/>
        </w:rPr>
        <w:t>Минцифры</w:t>
      </w:r>
      <w:proofErr w:type="spellEnd"/>
      <w:r w:rsidRPr="003D3DDB">
        <w:rPr>
          <w:rFonts w:ascii="Times New Roman" w:hAnsi="Times New Roman" w:cs="Times New Roman"/>
          <w:sz w:val="24"/>
          <w:szCs w:val="24"/>
        </w:rPr>
        <w:t xml:space="preserve"> и несколько контролеров: </w:t>
      </w:r>
      <w:proofErr w:type="spellStart"/>
      <w:r w:rsidRPr="003D3DDB">
        <w:rPr>
          <w:rFonts w:ascii="Times New Roman" w:hAnsi="Times New Roman" w:cs="Times New Roman"/>
          <w:sz w:val="24"/>
          <w:szCs w:val="24"/>
        </w:rPr>
        <w:t>Ростехнадзор</w:t>
      </w:r>
      <w:proofErr w:type="spellEnd"/>
      <w:r w:rsidRPr="003D3DDB">
        <w:rPr>
          <w:rFonts w:ascii="Times New Roman" w:hAnsi="Times New Roman" w:cs="Times New Roman"/>
          <w:sz w:val="24"/>
          <w:szCs w:val="24"/>
        </w:rPr>
        <w:t xml:space="preserve">, МЧС, Росздравнадзор и </w:t>
      </w:r>
      <w:proofErr w:type="spellStart"/>
      <w:r w:rsidRPr="003D3DDB">
        <w:rPr>
          <w:rFonts w:ascii="Times New Roman" w:hAnsi="Times New Roman" w:cs="Times New Roman"/>
          <w:sz w:val="24"/>
          <w:szCs w:val="24"/>
        </w:rPr>
        <w:t>Росаккредитация</w:t>
      </w:r>
      <w:proofErr w:type="spellEnd"/>
      <w:r w:rsidRPr="003D3DDB">
        <w:rPr>
          <w:rFonts w:ascii="Times New Roman" w:hAnsi="Times New Roman" w:cs="Times New Roman"/>
          <w:sz w:val="24"/>
          <w:szCs w:val="24"/>
        </w:rPr>
        <w:t>. Затем опыт будет масштабирован на остальные надзорные органы.</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В составе участников также числится Генпрокуратура (ведет реестр проверок бизнеса). Ранее Дмитрий Григоренко уже рассказывал о планах использовать ее цифровой ресурс для понимания «причинно-следственных связей» проверок при их назначении. Источником аналитики для настройки контрольно-надзорной деятельности тогда в правительстве называли и систему досудебного обжалования решений контролеров.</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Сейчас в РФ более 40 федеральных контрольных ведомств, разрозненность данных о КНД существенно увеличивает сроки обработки информации и выстраивание целостной картины.</w:t>
      </w:r>
      <w:r w:rsidR="00AD32C6">
        <w:rPr>
          <w:rFonts w:ascii="Times New Roman" w:hAnsi="Times New Roman" w:cs="Times New Roman"/>
          <w:sz w:val="24"/>
          <w:szCs w:val="24"/>
        </w:rPr>
        <w:t xml:space="preserve"> Ожидается, что</w:t>
      </w:r>
      <w:r w:rsidRPr="003D3DDB">
        <w:rPr>
          <w:rFonts w:ascii="Times New Roman" w:hAnsi="Times New Roman" w:cs="Times New Roman"/>
          <w:sz w:val="24"/>
          <w:szCs w:val="24"/>
        </w:rPr>
        <w:t xml:space="preserve"> определение правил игры на уровне аппарата правительства должно избавить КНД от недостатков ведомственного подхода и межведомственной конкуренции за сохранение полномочий.</w:t>
      </w:r>
    </w:p>
    <w:p w:rsidR="00170E64" w:rsidRPr="003D3DDB" w:rsidRDefault="00170E64" w:rsidP="003D3DDB">
      <w:pPr>
        <w:pStyle w:val="a3"/>
        <w:tabs>
          <w:tab w:val="left" w:pos="1276"/>
        </w:tabs>
        <w:ind w:firstLine="1134"/>
        <w:rPr>
          <w:rFonts w:ascii="Times New Roman" w:hAnsi="Times New Roman" w:cs="Times New Roman"/>
          <w:sz w:val="24"/>
          <w:szCs w:val="24"/>
        </w:rPr>
      </w:pPr>
      <w:r w:rsidRPr="003D3DDB">
        <w:rPr>
          <w:rFonts w:ascii="Times New Roman" w:hAnsi="Times New Roman" w:cs="Times New Roman"/>
          <w:sz w:val="24"/>
          <w:szCs w:val="24"/>
        </w:rPr>
        <w:t>Отметим, что будущим потребителем собранной аналитики может стать и реестр обязательных требований, предъявляемых к бизнесу в рамках госконтроля. Такой реестр запущен вчера для пяти ведомств (</w:t>
      </w:r>
      <w:proofErr w:type="spellStart"/>
      <w:r w:rsidRPr="003D3DDB">
        <w:rPr>
          <w:rFonts w:ascii="Times New Roman" w:hAnsi="Times New Roman" w:cs="Times New Roman"/>
          <w:sz w:val="24"/>
          <w:szCs w:val="24"/>
        </w:rPr>
        <w:t>Роструд</w:t>
      </w:r>
      <w:proofErr w:type="spellEnd"/>
      <w:r w:rsidRPr="003D3DDB">
        <w:rPr>
          <w:rFonts w:ascii="Times New Roman" w:hAnsi="Times New Roman" w:cs="Times New Roman"/>
          <w:sz w:val="24"/>
          <w:szCs w:val="24"/>
        </w:rPr>
        <w:t xml:space="preserve">, </w:t>
      </w:r>
      <w:proofErr w:type="spellStart"/>
      <w:r w:rsidRPr="003D3DDB">
        <w:rPr>
          <w:rFonts w:ascii="Times New Roman" w:hAnsi="Times New Roman" w:cs="Times New Roman"/>
          <w:sz w:val="24"/>
          <w:szCs w:val="24"/>
        </w:rPr>
        <w:t>Роспотребнадзор</w:t>
      </w:r>
      <w:proofErr w:type="spellEnd"/>
      <w:r w:rsidRPr="003D3DDB">
        <w:rPr>
          <w:rFonts w:ascii="Times New Roman" w:hAnsi="Times New Roman" w:cs="Times New Roman"/>
          <w:sz w:val="24"/>
          <w:szCs w:val="24"/>
        </w:rPr>
        <w:t xml:space="preserve">, </w:t>
      </w:r>
      <w:proofErr w:type="spellStart"/>
      <w:r w:rsidRPr="003D3DDB">
        <w:rPr>
          <w:rFonts w:ascii="Times New Roman" w:hAnsi="Times New Roman" w:cs="Times New Roman"/>
          <w:sz w:val="24"/>
          <w:szCs w:val="24"/>
        </w:rPr>
        <w:t>Росаккредитация</w:t>
      </w:r>
      <w:proofErr w:type="spellEnd"/>
      <w:r w:rsidRPr="003D3DDB">
        <w:rPr>
          <w:rFonts w:ascii="Times New Roman" w:hAnsi="Times New Roman" w:cs="Times New Roman"/>
          <w:sz w:val="24"/>
          <w:szCs w:val="24"/>
        </w:rPr>
        <w:t xml:space="preserve">, МЧС и Минстрой). Как поясняют в </w:t>
      </w:r>
      <w:proofErr w:type="spellStart"/>
      <w:r w:rsidRPr="003D3DDB">
        <w:rPr>
          <w:rFonts w:ascii="Times New Roman" w:hAnsi="Times New Roman" w:cs="Times New Roman"/>
          <w:sz w:val="24"/>
          <w:szCs w:val="24"/>
        </w:rPr>
        <w:t>Минцифры</w:t>
      </w:r>
      <w:proofErr w:type="spellEnd"/>
      <w:r w:rsidRPr="003D3DDB">
        <w:rPr>
          <w:rFonts w:ascii="Times New Roman" w:hAnsi="Times New Roman" w:cs="Times New Roman"/>
          <w:sz w:val="24"/>
          <w:szCs w:val="24"/>
        </w:rPr>
        <w:t>, он систематизирует обязательные требования на основе анализа нормативно-правовых актов, проверяет их на дублирование с помощью технологий машинного обучения и информирует заинтересованных лиц об обязательных требованиях. В перспективе эта система с учетом данных о контрольно-надзорной деятельности, в том числе наиболее частых нарушениях, может автоматизировать ключевой принцип реформы — риск-ориентированный подход.</w:t>
      </w:r>
    </w:p>
    <w:p w:rsidR="00170E64" w:rsidRPr="003D3DDB" w:rsidRDefault="00170E64" w:rsidP="003D3DDB">
      <w:pPr>
        <w:pStyle w:val="a3"/>
        <w:tabs>
          <w:tab w:val="left" w:pos="1276"/>
        </w:tabs>
        <w:ind w:firstLine="1134"/>
        <w:rPr>
          <w:rFonts w:ascii="Times New Roman" w:hAnsi="Times New Roman" w:cs="Times New Roman"/>
          <w:sz w:val="24"/>
          <w:szCs w:val="24"/>
        </w:rPr>
      </w:pPr>
    </w:p>
    <w:p w:rsidR="00170E64" w:rsidRPr="003D3DDB" w:rsidRDefault="00170E64" w:rsidP="003D3DDB">
      <w:pPr>
        <w:pStyle w:val="a3"/>
        <w:tabs>
          <w:tab w:val="left" w:pos="1276"/>
        </w:tabs>
        <w:ind w:firstLine="1134"/>
        <w:rPr>
          <w:rFonts w:ascii="Times New Roman" w:hAnsi="Times New Roman" w:cs="Times New Roman"/>
          <w:sz w:val="24"/>
          <w:szCs w:val="24"/>
        </w:rPr>
      </w:pPr>
    </w:p>
    <w:p w:rsidR="00170E64" w:rsidRPr="003D3DDB" w:rsidRDefault="00170E64" w:rsidP="003D3DDB">
      <w:pPr>
        <w:pStyle w:val="a3"/>
        <w:tabs>
          <w:tab w:val="left" w:pos="1276"/>
        </w:tabs>
        <w:ind w:firstLine="1134"/>
        <w:rPr>
          <w:rFonts w:ascii="Times New Roman" w:hAnsi="Times New Roman" w:cs="Times New Roman"/>
          <w:sz w:val="24"/>
          <w:szCs w:val="24"/>
        </w:rPr>
      </w:pPr>
    </w:p>
    <w:sectPr w:rsidR="00170E64" w:rsidRPr="003D3DDB" w:rsidSect="00611F99">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55"/>
    <w:rsid w:val="00170E64"/>
    <w:rsid w:val="0025058C"/>
    <w:rsid w:val="00266B96"/>
    <w:rsid w:val="003D3DDB"/>
    <w:rsid w:val="00AD32C6"/>
    <w:rsid w:val="00CD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BDC92-5077-4B32-9AE5-64A10B1E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11F99"/>
    <w:pPr>
      <w:spacing w:after="0" w:line="240" w:lineRule="auto"/>
    </w:pPr>
    <w:rPr>
      <w:rFonts w:ascii="Consolas" w:hAnsi="Consolas"/>
      <w:sz w:val="21"/>
      <w:szCs w:val="21"/>
    </w:rPr>
  </w:style>
  <w:style w:type="character" w:customStyle="1" w:styleId="a4">
    <w:name w:val="Текст Знак"/>
    <w:basedOn w:val="a0"/>
    <w:link w:val="a3"/>
    <w:uiPriority w:val="99"/>
    <w:rsid w:val="00611F99"/>
    <w:rPr>
      <w:rFonts w:ascii="Consolas" w:hAnsi="Consolas"/>
      <w:sz w:val="21"/>
      <w:szCs w:val="21"/>
    </w:rPr>
  </w:style>
  <w:style w:type="character" w:styleId="a5">
    <w:name w:val="Hyperlink"/>
    <w:basedOn w:val="a0"/>
    <w:uiPriority w:val="99"/>
    <w:unhideWhenUsed/>
    <w:rsid w:val="00266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711511" TargetMode="External"/><Relationship Id="rId3" Type="http://schemas.openxmlformats.org/officeDocument/2006/relationships/webSettings" Target="webSettings.xml"/><Relationship Id="rId7" Type="http://schemas.openxmlformats.org/officeDocument/2006/relationships/hyperlink" Target="https://www.kommersant.ru/doc/47114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mmersant.ru/doc/4711416" TargetMode="External"/><Relationship Id="rId5" Type="http://schemas.openxmlformats.org/officeDocument/2006/relationships/hyperlink" Target="https://iz.ru/1131176/anna-kaledina/utrata-raskhoda-u-rossiian-naschitali-bolshe-svobodnykh-deneg" TargetMode="External"/><Relationship Id="rId10" Type="http://schemas.openxmlformats.org/officeDocument/2006/relationships/theme" Target="theme/theme1.xml"/><Relationship Id="rId4" Type="http://schemas.openxmlformats.org/officeDocument/2006/relationships/hyperlink" Target="https://rg.ru/2021/03/01/iz-nebolshih-zastrojshchikov-kredity-v-bankah-poluchaet-lish-kazhdyj-desiatyj.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2021-07-12T04:13:00Z</dcterms:created>
  <dcterms:modified xsi:type="dcterms:W3CDTF">2021-07-12T04:13:00Z</dcterms:modified>
</cp:coreProperties>
</file>