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6" w:rsidRDefault="007E0F76" w:rsidP="007E0F76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147F88">
        <w:rPr>
          <w:rFonts w:ascii="Times New Roman" w:hAnsi="Times New Roman" w:cs="Times New Roman"/>
          <w:b/>
          <w:sz w:val="24"/>
          <w:szCs w:val="24"/>
        </w:rPr>
        <w:t>Набиуллина</w:t>
      </w:r>
      <w:proofErr w:type="spellEnd"/>
      <w:r w:rsidRPr="00147F88">
        <w:rPr>
          <w:rFonts w:ascii="Times New Roman" w:hAnsi="Times New Roman" w:cs="Times New Roman"/>
          <w:b/>
          <w:sz w:val="24"/>
          <w:szCs w:val="24"/>
        </w:rPr>
        <w:t xml:space="preserve"> объяснила, почему раздача денег не приведет к росту экономики</w:t>
      </w:r>
    </w:p>
    <w:p w:rsidR="00147F88" w:rsidRPr="00CF3333" w:rsidRDefault="000621D4" w:rsidP="00147F8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47F88" w:rsidRPr="00EB6220">
          <w:rPr>
            <w:rStyle w:val="a5"/>
            <w:rFonts w:ascii="Times New Roman" w:hAnsi="Times New Roman" w:cs="Times New Roman"/>
            <w:sz w:val="24"/>
            <w:szCs w:val="24"/>
          </w:rPr>
          <w:t>https://ria.ru/20210621/nabiullina-1737844407.html</w:t>
        </w:r>
      </w:hyperlink>
      <w:r w:rsidR="00147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Денежно-кредитная политика регулятора влияет только на спрос в экономике; если напечатать и раздать деньги, он вырастет, а предложение — нет, что только разгонит инфляцию, заявила глава ЦБ Эльвира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 в интервью "Комсомольской правде".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Она также отметила, что снижение ключевой ставки до нулевых значений и, как следствие, накачивание экономики деньгами привело бы к скачку инфляции.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По ее словам, это "точно были бы двузначные цифры". В таком случае, рассуждает глава ЦБ, упал бы курс рубля, потому что люди стали бы выводить сбережения в валюту. Вдобавок, бизнес перестал бы инвестировать в развитие, потому что предпринимателям важна предсказуемость для долгосрочного планирования.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В развитых странах такой сценарий не развивается, поскольку инфляционные ожидания и людей и бизнеса "заякорены" — они привыкли, что цены не растут, у людей накопился опыт, доверие к властям, поэтому никто не бежит в магазины при ценовых колебаниях, добавила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"Все понимают: даже если будет скачок, то инфляция быстро придет в норму", — пояснила она.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По словам главы ЦБ, если в развитых странах будет высокая инфляция, то они тоже начнут повышать ставки. В то же время для них такая политика чревата проблемами: у них накоплены большие долги, стоимость обслуживания которых резко вырастет.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47F88" w:rsidRPr="00147F88" w:rsidRDefault="00147F88" w:rsidP="00147F88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147F88">
        <w:rPr>
          <w:rFonts w:ascii="Times New Roman" w:hAnsi="Times New Roman" w:cs="Times New Roman"/>
          <w:b/>
          <w:sz w:val="24"/>
          <w:szCs w:val="24"/>
        </w:rPr>
        <w:t>В трудовом законодательстве могут появиться новые формы занятости, возникающие с развитием цифровых платформ, — они объединят, например, таксистов, курьеров и репетиторов</w:t>
      </w:r>
    </w:p>
    <w:p w:rsidR="007E0F76" w:rsidRPr="00CF3333" w:rsidRDefault="000621D4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7F88" w:rsidRPr="00EB6220">
          <w:rPr>
            <w:rStyle w:val="a5"/>
            <w:rFonts w:ascii="Times New Roman" w:hAnsi="Times New Roman" w:cs="Times New Roman"/>
            <w:sz w:val="24"/>
            <w:szCs w:val="24"/>
          </w:rPr>
          <w:t>https://iz.ru/1179327/natalia-ilina/povorot-kurery-v-rossii-poiaviatsia-novye-formy-zaniatosti</w:t>
        </w:r>
      </w:hyperlink>
      <w:r w:rsidR="00147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76" w:rsidRPr="00CF3333" w:rsidRDefault="007E0F76" w:rsidP="00147F8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Такие изменения сейчас прорабатывает Минтруд совместно с «Единой Россией» и представителями рынка</w:t>
      </w:r>
      <w:r w:rsidR="00147F88">
        <w:rPr>
          <w:rFonts w:ascii="Times New Roman" w:hAnsi="Times New Roman" w:cs="Times New Roman"/>
          <w:sz w:val="24"/>
          <w:szCs w:val="24"/>
        </w:rPr>
        <w:t>.</w:t>
      </w:r>
      <w:r w:rsidR="00147F88" w:rsidRPr="00CF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Развитие цифровых экосистем создает условия для появления «платформенной занятости»: отношения, которые при содействии онлайн-площадок складываются между исполнителями услуг и заказчиками, строго говоря, не трудовые, поскольку конечные потребители не выступают в роли работодателей, рассказали «Известиям» в Минтруде. Речь идет, например, о водителях такси, курьерах, репетиторах, частных мастерах. В ведомстве отметили, что большинство граждан, работающих через цифровые экосистемы, оформляют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 Однако этот статус предполагает лишь определенный налоговый режим, но не выступает полноценной формой отношений между исполнителем и заказчиком услуг.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За последние восемь месяцев число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выросло примерно на 1 млн, до 2,4 млн, сообщал на Петербургском международном экономическом форуме глава Минтруда Антон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Котяков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. Он подчеркнул, что порядка половины сотрудников цифровых платформ — именно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 По прогнозам ведомства, к 2024 году этим режимом воспользуются примерно 5 млн человек, к 2030 году — 10–11 млн человек.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При этом Антон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Котяков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подчёркивал, что режим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не предполагает пенсионных накоплений по завершении трудовой деятельности. Также граждане, работающие через цифровые платформы, лишены социальных гарантий в связи с утратой заработка, несчастным случаем или по больничному листу, они не могут рассчитывать на оплачиваемый отпуск.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нужно дать набор инструментов для повышения их социальной защищенности, пояснял глава Минтруда.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lastRenderedPageBreak/>
        <w:t xml:space="preserve">В «Яндекс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» считают, что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вправе сами решать, какую часть собственного дохода направлять на страховые взносы, при этом роль платформы — развивать собственные программы поддержки. Например, сама компания запустила пилот по льготному страхованию водителей такси и курьеров.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онлайн-сервиса услуг YouDo.com Денис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Кутергин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также рассказал, что портал предлагает программы по страхованию гражданской ответственности исполнителей и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медстраховку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, к</w:t>
      </w:r>
      <w:r w:rsidR="00147F88">
        <w:rPr>
          <w:rFonts w:ascii="Times New Roman" w:hAnsi="Times New Roman" w:cs="Times New Roman"/>
          <w:sz w:val="24"/>
          <w:szCs w:val="24"/>
        </w:rPr>
        <w:t>оторыми сотрудники в</w:t>
      </w:r>
      <w:r w:rsidRPr="00CF3333">
        <w:rPr>
          <w:rFonts w:ascii="Times New Roman" w:hAnsi="Times New Roman" w:cs="Times New Roman"/>
          <w:sz w:val="24"/>
          <w:szCs w:val="24"/>
        </w:rPr>
        <w:t>праве воспользоваться.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Экосистемы не выступают заказчиками или работодателями для «платформенных»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, при этом они несут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риски за действия сотрудников, отметила член комиссии по правовому обеспечению цифровой экономики московского отделения Ассоциации юристов России Александра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Орехович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. Она добавила, что также возникает потенциальный риск признания ответственности платформы за действия работников, которые через нее находят клиентов. По действующему российскому законодательству, на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, строго говоря, даже не распространяется закон о защите прав потребителей, уточнила эксперт, то есть перспектива защиты интересов конечного получателя услуги в такой ситуации остается весьма туманной.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F0C8F" w:rsidRPr="00EF0C8F" w:rsidRDefault="00EF0C8F" w:rsidP="00EF0C8F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F0C8F">
        <w:rPr>
          <w:rFonts w:ascii="Times New Roman" w:hAnsi="Times New Roman" w:cs="Times New Roman"/>
          <w:b/>
          <w:sz w:val="24"/>
          <w:szCs w:val="24"/>
        </w:rPr>
        <w:t>Индекс деловой активности малого и среднего бизнеса вырос до исторического максимума</w:t>
      </w:r>
    </w:p>
    <w:p w:rsidR="00EF0C8F" w:rsidRPr="00CF3333" w:rsidRDefault="000621D4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0C8F" w:rsidRPr="00EB6220">
          <w:rPr>
            <w:rStyle w:val="a5"/>
            <w:rFonts w:ascii="Times New Roman" w:hAnsi="Times New Roman" w:cs="Times New Roman"/>
            <w:sz w:val="24"/>
            <w:szCs w:val="24"/>
          </w:rPr>
          <w:t>https://tass.ru/ekonomika/11702737</w:t>
        </w:r>
      </w:hyperlink>
      <w:r w:rsidR="00EF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Об этом свидетельствует ежемесячный индекс RSBI, который составляют Промсвязьбанк (ПСБ), бизнес-объединение "Опора России" и агентство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Magram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Значение индекса выше 50 пунктов означает рост деловой активности, ниже 50 - снижение. В январе 2021 года деловая активность находилась в зоне снижения и составляла 49,3 пункта, в феврале выросла до 51,6 пункта, в марте - до 52,2 пункта, в апреле - до 52,6 пункта.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"Согласно индексу RSBI, который в мае составил 54,6 пункта и достиг нового исторического максимума, превысив рекордные показатели 2018 года на полтора пункта, деловая активность малого и среднего бизнеса продолжает уверенный рост", - отмечается в материалах исследования.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Рекордная активность в первую очередь связана с "высокой инвестиционной динамикой, которую проявили все сегменты бизнеса и все сферы деятельности", пояснил вице-президент - директор дирекции продуктов и технологий среднего и малого бизнеса ПСБ Кирилл Тихонов.</w:t>
      </w:r>
    </w:p>
    <w:p w:rsidR="00EF0C8F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"Впервые с начала пандемии микро и малые предприятия начали активно инвестировать в развитие бизнеса. Высокие ожидания по продажам и рост инвестиций в мае свидетельствуют о позитивном деловом настрое на ближайшие месяцы. Наш опыт исследований в рамках индекса RSBI говорит о том, что частичные ограничения середины июня в целом мало отразятся на предпринимателях, так как большинство из них уже адаптировались к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коронавирусным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условиям ведения деятельности", - сказал он.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Повышению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инвестактивности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в секторе способствовал рост продаж — так, пятая часть компаний отметила рост выручки в мае (плюс 3 п. п.), о снижении сообщили 36% (минус 8 п. п.). По мнению авторов исследования, позитивные ожидания бизнеса в отношении будущих продаж (роста выручки ждут 36% компаний) будут способствовать расширению инвестиций и в ближайшие месяцы. О планах нарастить инвестиции сообщили 30% компаний против 26% в апреле, доля же тех, кто сократит расходы, осталась неизменной — 5%.</w:t>
      </w:r>
    </w:p>
    <w:p w:rsidR="00EF0C8F" w:rsidRPr="00CF3333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F0C8F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F0C8F" w:rsidRDefault="00EF0C8F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147F88" w:rsidRPr="00147F88" w:rsidRDefault="00147F88" w:rsidP="00147F88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147F88">
        <w:rPr>
          <w:rFonts w:ascii="Times New Roman" w:hAnsi="Times New Roman" w:cs="Times New Roman"/>
          <w:b/>
          <w:sz w:val="24"/>
          <w:szCs w:val="24"/>
        </w:rPr>
        <w:t>Треть МСП пожаловалась на завышенные зарплатные ожидания сотрудников</w:t>
      </w:r>
    </w:p>
    <w:p w:rsidR="007E0F76" w:rsidRPr="00CF3333" w:rsidRDefault="000621D4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7F88" w:rsidRPr="00EB6220">
          <w:rPr>
            <w:rStyle w:val="a5"/>
            <w:rFonts w:ascii="Times New Roman" w:hAnsi="Times New Roman" w:cs="Times New Roman"/>
            <w:sz w:val="24"/>
            <w:szCs w:val="24"/>
          </w:rPr>
          <w:t>https://iz.ru/1180554/ekaterina-vinogradova/im-mnogo-nado-tret-msp-pozhalovas-na-zavyshennye-zarplatnye-ozhidaniia</w:t>
        </w:r>
      </w:hyperlink>
      <w:r w:rsidR="00147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88" w:rsidRPr="00CF3333" w:rsidRDefault="007E0F76" w:rsidP="00147F8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Каждый третий представитель малого и среднего бизнеса пожаловался на завышенные требования соискателей к зарплате. Это следует из майского опроса ПСБ, «Опоры России» и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Magram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в рамках подготовки индекса RSBI</w:t>
      </w:r>
      <w:r w:rsidR="00147F88">
        <w:rPr>
          <w:rFonts w:ascii="Times New Roman" w:hAnsi="Times New Roman" w:cs="Times New Roman"/>
          <w:sz w:val="24"/>
          <w:szCs w:val="24"/>
        </w:rPr>
        <w:t>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Почти половина респондентов (45%) заявили о необходимости найма новых сотрудников, причем 27% сообщили, что активно этим занимаются.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Однако в процессе предприниматели сталкиваются с рядом серьезных проблем, говорится в исследовании. Так, 41% бизнесменов пожаловались на дефицит квалифицированных кадров, а каждый третий (31%) указал на завышенные требования соискателей к зарплате. Для 14% проблемой стали географические особенности бизнеса, а каждый десятый (11%) посетовал на завышенные требования кандидатов к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соцпакету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 Впрочем, число последних по сравнению с 2019 годом сократилось в два раза, указали авторы исследования. По их мнению, это связано с переводом большей части сотрудников на удаленный режим работы.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Кроме того, осложняют наем высокая стоимость рекрутинговых услуг и нежелание кандидатов работать в малоизвестной компании (на это указали по 8% МСП). Впрочем, четверть предпринимателей заявила, что не испытывает никаких проблем при приеме новых сотрудников.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В рамках опроса бизнесмены также поделились своими планами по инвестициям. Каждый четвертый предприниматель сообщил, что с начала года вкладывает средства в развитие своего дела и сейчас доля таких бизнесменов находится на уровне докризисного 2019 года. Еще 23% представителей МСП пока не инвестировали, но планируют начать в этом году. Впрочем, тех, кто не вкладывал в развитие и не собирается это делать, все-таки больше: 52% опрошенных сообщили, что не готовы делать инвестиции в нынешнем году.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Основным барьером для расширения бизнеса представители МСП по-прежнему считают неблагоприятные экономические условия, вызванные пандемией, причем за два года доля таких предпринимателей выросла на 13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., до 55%. Препятствием также стали низкая рентабельность бизнеса, снижение спроса и невозможность спрогнозировать отдачу от инвестиций.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Из тех, кто вкладывал, каждый третий (34%) делал это на заемные средства под залог бизнеса, но большинство предпринимателей (59%) обошлись деньгами компании.</w:t>
      </w:r>
    </w:p>
    <w:p w:rsidR="00147F88" w:rsidRDefault="00147F88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F0C8F" w:rsidRPr="00EF0C8F" w:rsidRDefault="00EF0C8F" w:rsidP="00EF0C8F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EF0C8F">
        <w:rPr>
          <w:rFonts w:ascii="Times New Roman" w:hAnsi="Times New Roman" w:cs="Times New Roman"/>
          <w:b/>
          <w:sz w:val="24"/>
          <w:szCs w:val="24"/>
        </w:rPr>
        <w:t>Бизнес думает о повышении зарплат и расширении штата</w:t>
      </w:r>
    </w:p>
    <w:p w:rsidR="007E0F76" w:rsidRPr="00CF3333" w:rsidRDefault="000621D4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0C8F" w:rsidRPr="00EB6220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https://www.kommersant.ru/doc/4867149</w:t>
        </w:r>
      </w:hyperlink>
      <w:r w:rsidR="00EF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Большинство российских компаний готовы повысить зарплаты своим нынешним сотрудникам, а также нанять новых. Такой вывод можно сделать по результатам исследования международного кадрового агентства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«Рынок труда глазами работодателей 2021». Его частично подтверждают данные по рынку труда, собранные аналитиками базы вакансий hh.ru.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По оценке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, в этом году большинство работодателей (63%) планируют провести индексацию зарплат.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Существенная часть (42%) опрошенных увеличат зарплаты всем работающим в штате на 4–6% (в прошлом году таковых было только 15%). Еще 7% готовы увеличить выплаты более чем на 7% (ранее — 5%). 17% компаний намерены повышать зарплаты точечно (14%).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lastRenderedPageBreak/>
        <w:t>Данные hh.ru показывают, что средний уровень предлагаемой зарплаты в РФ в мае вырос на 7% (до 48,3 тыс. руб.) по сравнению с январем этого года. Правда, по оценке hh.ru, работодатели склонны предлагать больше денег только отдельным специалистам, занятым в медицине и фармацевтике. В этих отраслях предлагаемые зарплаты с начала года выросли на треть, до уровня средних по стране, тех же 48,3 тыс. руб.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>, почти половина (44%) работодателей заявили, что планируют расширять штат.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>В 2020 году таковых было 40%. Примерно треть (33%) не планируют таких изменений (32% в 2020-м). Сокращения сейчас планируют только 4% компаний, в 2020 году о таких планах заявляли в три раза больше — 14%. О намерениях компаний более активно набирать сотрудников свидетельствуют и данные hh.ru. Так, в этом году на платформе ежемесячно появлялось на 30–77% больше вакансий, чем в прошлом. В мае спрос вырос уже на 130%, причем наиболее заметно он увеличился на Урале и Северо-Западе РФ. Москва и Московская область, напротив, показали наименьший прирост.</w:t>
      </w:r>
    </w:p>
    <w:p w:rsidR="007E0F76" w:rsidRPr="00CF3333" w:rsidRDefault="007E0F76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F3333">
        <w:rPr>
          <w:rFonts w:ascii="Times New Roman" w:hAnsi="Times New Roman" w:cs="Times New Roman"/>
          <w:sz w:val="24"/>
          <w:szCs w:val="24"/>
        </w:rPr>
        <w:t xml:space="preserve">По оценке управляющего директора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3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3333">
        <w:rPr>
          <w:rFonts w:ascii="Times New Roman" w:hAnsi="Times New Roman" w:cs="Times New Roman"/>
          <w:sz w:val="24"/>
          <w:szCs w:val="24"/>
        </w:rPr>
        <w:t xml:space="preserve"> по Восточной Европе Екатерины Гороховой, особенно сильно вырос спрос на рабочие специальности, а также на специалистов почти всех отраслей. «Сегодня хорошие кандидаты таких категорий имеют по несколько предложений о работе»,— отмечает она.</w:t>
      </w:r>
      <w:r w:rsidR="00EF0C8F" w:rsidRPr="00CF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0F76" w:rsidRPr="00CF3333" w:rsidRDefault="007E0F76" w:rsidP="007E0F7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E0F76" w:rsidRPr="00CF3333" w:rsidRDefault="007E0F76" w:rsidP="00EF0C8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7E0F76" w:rsidRPr="00CF3333" w:rsidSect="00AC262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621D4"/>
    <w:rsid w:val="0009060B"/>
    <w:rsid w:val="00147F88"/>
    <w:rsid w:val="005D12C6"/>
    <w:rsid w:val="007E0F76"/>
    <w:rsid w:val="00B82E80"/>
    <w:rsid w:val="00CF3333"/>
    <w:rsid w:val="00E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2930-CC12-4A56-94AF-BB3DF8F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2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2622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14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867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.ru/1180554/ekaterina-vinogradova/im-mnogo-nado-tret-msp-pozhalovas-na-zavyshennye-zarplatnye-ozhidan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ekonomika/11702737" TargetMode="External"/><Relationship Id="rId5" Type="http://schemas.openxmlformats.org/officeDocument/2006/relationships/hyperlink" Target="https://iz.ru/1179327/natalia-ilina/povorot-kurery-v-rossii-poiaviatsia-novye-formy-zaniato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a.ru/20210621/nabiullina-17378444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2021-07-12T04:02:00Z</dcterms:created>
  <dcterms:modified xsi:type="dcterms:W3CDTF">2021-07-12T04:02:00Z</dcterms:modified>
</cp:coreProperties>
</file>