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4CFC" w14:textId="77777777" w:rsidR="002F316C" w:rsidRPr="002F316C" w:rsidRDefault="002F316C" w:rsidP="002F316C">
      <w:pPr>
        <w:pStyle w:val="a3"/>
        <w:ind w:firstLine="1134"/>
        <w:rPr>
          <w:rFonts w:ascii="Times New Roman" w:hAnsi="Times New Roman" w:cs="Times New Roman"/>
          <w:b/>
          <w:bCs/>
          <w:sz w:val="24"/>
          <w:szCs w:val="24"/>
        </w:rPr>
      </w:pPr>
      <w:bookmarkStart w:id="0" w:name="_GoBack"/>
      <w:bookmarkEnd w:id="0"/>
      <w:r w:rsidRPr="002F316C">
        <w:rPr>
          <w:rFonts w:ascii="Times New Roman" w:hAnsi="Times New Roman" w:cs="Times New Roman"/>
          <w:b/>
          <w:bCs/>
          <w:sz w:val="24"/>
          <w:szCs w:val="24"/>
        </w:rPr>
        <w:t>Минэкономразвития распространило на самозанятых имущественную и финансовую поддержку</w:t>
      </w:r>
    </w:p>
    <w:p w14:paraId="27C551C4" w14:textId="1E6B72D4" w:rsidR="00E70CB7" w:rsidRPr="002F316C" w:rsidRDefault="00E545DC" w:rsidP="00E70CB7">
      <w:pPr>
        <w:pStyle w:val="a3"/>
        <w:ind w:firstLine="1134"/>
        <w:rPr>
          <w:rFonts w:ascii="Times New Roman" w:hAnsi="Times New Roman" w:cs="Times New Roman"/>
          <w:sz w:val="24"/>
          <w:szCs w:val="24"/>
        </w:rPr>
      </w:pPr>
      <w:hyperlink r:id="rId4" w:history="1">
        <w:r w:rsidR="002F316C" w:rsidRPr="003A312D">
          <w:rPr>
            <w:rStyle w:val="a5"/>
            <w:rFonts w:ascii="Times New Roman" w:hAnsi="Times New Roman" w:cs="Times New Roman"/>
            <w:sz w:val="24"/>
            <w:szCs w:val="24"/>
          </w:rPr>
          <w:t>https://tass.ru/ekonomika/9626403</w:t>
        </w:r>
      </w:hyperlink>
      <w:r w:rsidR="002F316C" w:rsidRPr="002F316C">
        <w:rPr>
          <w:rFonts w:ascii="Times New Roman" w:hAnsi="Times New Roman" w:cs="Times New Roman"/>
          <w:sz w:val="24"/>
          <w:szCs w:val="24"/>
        </w:rPr>
        <w:t xml:space="preserve"> </w:t>
      </w:r>
    </w:p>
    <w:p w14:paraId="76FD72D0" w14:textId="40ACE254" w:rsidR="00E70CB7" w:rsidRPr="002F316C" w:rsidRDefault="00E70CB7" w:rsidP="002F316C">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Минэкономразвития РФ обеспечило распространение мер поддержки малого и среднего бизнеса на самозанятых в рамках скорректированного нацпроекта "Малое и среднее предпринимательство и поддержка индивидуальной предпринимательской инициативы". </w:t>
      </w:r>
    </w:p>
    <w:p w14:paraId="742A9011"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Самозанятые могут обратиться в региональные центры "Мой бизнес" за оказанием необходимых услуг, консультационной или образовательной поддержкой. Кроме того, для них предусмотрена возможность получения финансовой поддержки, предоставляемой государственными </w:t>
      </w:r>
      <w:proofErr w:type="spellStart"/>
      <w:r w:rsidRPr="002F316C">
        <w:rPr>
          <w:rFonts w:ascii="Times New Roman" w:hAnsi="Times New Roman" w:cs="Times New Roman"/>
          <w:sz w:val="24"/>
          <w:szCs w:val="24"/>
        </w:rPr>
        <w:t>микрофинансовыми</w:t>
      </w:r>
      <w:proofErr w:type="spellEnd"/>
      <w:r w:rsidRPr="002F316C">
        <w:rPr>
          <w:rFonts w:ascii="Times New Roman" w:hAnsi="Times New Roman" w:cs="Times New Roman"/>
          <w:sz w:val="24"/>
          <w:szCs w:val="24"/>
        </w:rPr>
        <w:t xml:space="preserve"> организациями (</w:t>
      </w:r>
      <w:proofErr w:type="spellStart"/>
      <w:r w:rsidRPr="002F316C">
        <w:rPr>
          <w:rFonts w:ascii="Times New Roman" w:hAnsi="Times New Roman" w:cs="Times New Roman"/>
          <w:sz w:val="24"/>
          <w:szCs w:val="24"/>
        </w:rPr>
        <w:t>микрозайм</w:t>
      </w:r>
      <w:proofErr w:type="spellEnd"/>
      <w:r w:rsidRPr="002F316C">
        <w:rPr>
          <w:rFonts w:ascii="Times New Roman" w:hAnsi="Times New Roman" w:cs="Times New Roman"/>
          <w:sz w:val="24"/>
          <w:szCs w:val="24"/>
        </w:rPr>
        <w:t xml:space="preserve"> до 1 млн. рублей под ставку не более ключевой ставки Банка России) и региональными гарантийными организациями. Также они могут получить имущественную поддержку - взять в аренду на льготных условиях помещения коворкингов и бизнес-инкубаторов.</w:t>
      </w:r>
    </w:p>
    <w:p w14:paraId="1FE5DBC8"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 настоящий момент в стране уже зарегистрировано более 1,150 млн самозанятых. Распространение услуг и мер поддержки субъектов МСП на самозанятых граждан будет способствовать увеличению их роста и эффективности деятельности. К 2024 году планируется увеличить количество самозанятых более чем в 2 раза", - подчеркнули в министерстве.</w:t>
      </w:r>
    </w:p>
    <w:p w14:paraId="502D4805" w14:textId="77777777" w:rsidR="00E70CB7" w:rsidRPr="002F316C" w:rsidRDefault="00E70CB7" w:rsidP="00E70CB7">
      <w:pPr>
        <w:pStyle w:val="a3"/>
        <w:ind w:firstLine="1134"/>
        <w:rPr>
          <w:rFonts w:ascii="Times New Roman" w:hAnsi="Times New Roman" w:cs="Times New Roman"/>
          <w:sz w:val="24"/>
          <w:szCs w:val="24"/>
        </w:rPr>
      </w:pPr>
    </w:p>
    <w:p w14:paraId="7430C2C7" w14:textId="40EBE99D" w:rsidR="00E70CB7" w:rsidRDefault="00E70CB7" w:rsidP="00E70CB7">
      <w:pPr>
        <w:pStyle w:val="a3"/>
        <w:ind w:firstLine="1134"/>
        <w:rPr>
          <w:rFonts w:ascii="Times New Roman" w:hAnsi="Times New Roman" w:cs="Times New Roman"/>
          <w:sz w:val="24"/>
          <w:szCs w:val="24"/>
        </w:rPr>
      </w:pPr>
    </w:p>
    <w:p w14:paraId="356DF94A" w14:textId="67780C1E" w:rsidR="00E70CB7" w:rsidRPr="002F316C" w:rsidRDefault="002F316C" w:rsidP="00E70CB7">
      <w:pPr>
        <w:pStyle w:val="a3"/>
        <w:ind w:firstLine="1134"/>
        <w:rPr>
          <w:rFonts w:ascii="Times New Roman" w:hAnsi="Times New Roman" w:cs="Times New Roman"/>
          <w:b/>
          <w:bCs/>
          <w:sz w:val="24"/>
          <w:szCs w:val="24"/>
        </w:rPr>
      </w:pPr>
      <w:r w:rsidRPr="002F316C">
        <w:rPr>
          <w:rFonts w:ascii="Times New Roman" w:hAnsi="Times New Roman" w:cs="Times New Roman"/>
          <w:b/>
          <w:bCs/>
          <w:sz w:val="24"/>
          <w:szCs w:val="24"/>
        </w:rPr>
        <w:t>Правительство намерено сократить в 1,5-3 раза сроки получения лицензий для МСП</w:t>
      </w:r>
    </w:p>
    <w:p w14:paraId="0DAD39C4" w14:textId="73A1D96A" w:rsidR="00E70CB7" w:rsidRPr="002F316C" w:rsidRDefault="00E545DC" w:rsidP="00E70CB7">
      <w:pPr>
        <w:pStyle w:val="a3"/>
        <w:ind w:firstLine="1134"/>
        <w:rPr>
          <w:rFonts w:ascii="Times New Roman" w:hAnsi="Times New Roman" w:cs="Times New Roman"/>
          <w:sz w:val="24"/>
          <w:szCs w:val="24"/>
        </w:rPr>
      </w:pPr>
      <w:hyperlink r:id="rId5" w:history="1">
        <w:r w:rsidR="002F316C" w:rsidRPr="003A312D">
          <w:rPr>
            <w:rStyle w:val="a5"/>
            <w:rFonts w:ascii="Times New Roman" w:hAnsi="Times New Roman" w:cs="Times New Roman"/>
            <w:sz w:val="24"/>
            <w:szCs w:val="24"/>
          </w:rPr>
          <w:t>https://tass.ru/ekonomika/9620019</w:t>
        </w:r>
      </w:hyperlink>
      <w:r w:rsidR="002F316C" w:rsidRPr="002F316C">
        <w:rPr>
          <w:rFonts w:ascii="Times New Roman" w:hAnsi="Times New Roman" w:cs="Times New Roman"/>
          <w:sz w:val="24"/>
          <w:szCs w:val="24"/>
        </w:rPr>
        <w:t xml:space="preserve"> </w:t>
      </w:r>
    </w:p>
    <w:p w14:paraId="52CB8AD4" w14:textId="57A4F66D" w:rsidR="002F316C"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Правительство России намерено сократить в 1,5-3 раза сроки получения лицензий малыми и средними предприятиями. Об этом говорится в имеющемся в распоряжении ТАСС проекте общенационального плана действий, обеспечивающих восстановление занятости и доходов населения, рост экономики и долгосрочные структурные изменения</w:t>
      </w:r>
      <w:r w:rsidR="002F316C" w:rsidRPr="002F316C">
        <w:rPr>
          <w:rFonts w:ascii="Times New Roman" w:hAnsi="Times New Roman" w:cs="Times New Roman"/>
          <w:sz w:val="24"/>
          <w:szCs w:val="24"/>
        </w:rPr>
        <w:t>.</w:t>
      </w:r>
    </w:p>
    <w:p w14:paraId="4630D956"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"Сокращение в 1,5-3 раза сроков получения лицензии для видов лицензирования, определяемых правительством РФ. Исключение необходимости переоформления лицензии в случаях изменения адреса (переименование улиц, географических объектов), наименования организации, места жительства предпринимателя и иных подобных случаях. Обеспечение внедрения реестровой модели в лицензировании", - говорится в проекте мероприятий по развитию малого и среднего предпринимательства.</w:t>
      </w:r>
    </w:p>
    <w:p w14:paraId="6FDD1BF3" w14:textId="7E093977" w:rsidR="002F316C" w:rsidRDefault="00E70CB7"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Также план предусматривает "закрепление новой системы регулирования разрешительной деятельности, предусматривающей новую структуру регулирования разрешений, введенных приказами федеральными органами исполнительной власти, установление механизмов получения лицензий, разрешений, используя электронное взаимодействие".</w:t>
      </w:r>
    </w:p>
    <w:p w14:paraId="087318DF" w14:textId="6E8E9AFF"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Помимо этого, в проекте плана указано расширение факторинговых операций для субъектов МСП, в том числе через онлайн-платформу "путем реализации цифровых прав за проведенные поставки товаров (работ, услуг)". Эти мероприятия запланированы к реализации в октябре 2020 года - декабре 2021 года. В этот же период планируется развивать финансирование малого и среднего бизнеса с помощью </w:t>
      </w:r>
      <w:proofErr w:type="spellStart"/>
      <w:r w:rsidRPr="002F316C">
        <w:rPr>
          <w:rFonts w:ascii="Times New Roman" w:hAnsi="Times New Roman" w:cs="Times New Roman"/>
          <w:sz w:val="24"/>
          <w:szCs w:val="24"/>
        </w:rPr>
        <w:t>краудинвестинговой</w:t>
      </w:r>
      <w:proofErr w:type="spellEnd"/>
      <w:r w:rsidRPr="002F316C">
        <w:rPr>
          <w:rFonts w:ascii="Times New Roman" w:hAnsi="Times New Roman" w:cs="Times New Roman"/>
          <w:sz w:val="24"/>
          <w:szCs w:val="24"/>
        </w:rPr>
        <w:t xml:space="preserve"> платформы.</w:t>
      </w:r>
    </w:p>
    <w:p w14:paraId="5533D90C"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Власти России предполагают поэтапный переход на безбумажное взаимодействие органов контроля и проверяемого бизнеса при обмене документами. </w:t>
      </w:r>
    </w:p>
    <w:p w14:paraId="411A91D4"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"Поэтапный переход на полностью безбумажное взаимодействие органов контроля и проверяемых лиц при обмене документами", - говорится в списке мероприятий по поддержке и развитию индивидуального, малого и среднего </w:t>
      </w:r>
      <w:r w:rsidRPr="002F316C">
        <w:rPr>
          <w:rFonts w:ascii="Times New Roman" w:hAnsi="Times New Roman" w:cs="Times New Roman"/>
          <w:sz w:val="24"/>
          <w:szCs w:val="24"/>
        </w:rPr>
        <w:lastRenderedPageBreak/>
        <w:t>предпринимательства. Также план предполагает "ограничение существенного роста числа проверок в 2021 году по сравнению с 2020 годом, в том числе ограничение оснований их проведения".</w:t>
      </w:r>
    </w:p>
    <w:p w14:paraId="33593E25"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 части контрольно-надзорной деятельности (КНД) в плане отмечена необходимость "формирования единых долгосрочных принципов и порядка установления и оценки применения обязательных требований в РФ". В списке мер - актуализация в декабре 2020 года - январе 2021 года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в рамках реализации механизма "регуляторной гильотины". Отдельный пункт касается закрепления новой системы регулирования КНД, "предполагающей внедрение риск-ориентированного подхода в деятельности органов контроля, создание системы профилактики нарушения обязательных требований, механизма досудебного обжалования принимаемых решений".</w:t>
      </w:r>
    </w:p>
    <w:p w14:paraId="01B1D9E7"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Реформа контрольно-надзорной деятельности ("регуляторная гильотина") предполагает полный пересмотр предъявляемых к бизнесу обязательных требований. Новое регулирование должно вступить в силу с 1 января 2021 года. Механизм предусматривает отмену необоснованных или устаревших надзорных требований для снижения регуляторной нагрузки в основных отраслях экономики.</w:t>
      </w:r>
    </w:p>
    <w:p w14:paraId="082279C7"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Правительство РФ намерено развивать придорожную инфраструктуру для реализации малыми и средними предприятиями своих товаров и услуг в местах отдыха. </w:t>
      </w:r>
    </w:p>
    <w:p w14:paraId="2DA67BF8"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"Разработка системы мер, направленных на развитие придорожной инфраструктуры, в целях реализации субъектами МСП товаров (услуг) в комплексных местах отдыха и обеспечения сервисами", - говорится в подпункте "Новые рынки и каналы сбыта, обеспечение спроса на товары и услуги субъектов МСП". Срок реализации - январь - декабрь 2021 года.</w:t>
      </w:r>
    </w:p>
    <w:p w14:paraId="66EEA72B"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Также в данный подпункт включено "совершенствование правового регулирования отношений между агрегаторами информации о товарах или услугах (маркетплейсами) и поставщиками товаров или услуг в целях расширения доступа субъектов МСП, а </w:t>
      </w:r>
      <w:proofErr w:type="spellStart"/>
      <w:r w:rsidRPr="002F316C">
        <w:rPr>
          <w:rFonts w:ascii="Times New Roman" w:hAnsi="Times New Roman" w:cs="Times New Roman"/>
          <w:sz w:val="24"/>
          <w:szCs w:val="24"/>
        </w:rPr>
        <w:t>тажке</w:t>
      </w:r>
      <w:proofErr w:type="spellEnd"/>
      <w:r w:rsidRPr="002F316C">
        <w:rPr>
          <w:rFonts w:ascii="Times New Roman" w:hAnsi="Times New Roman" w:cs="Times New Roman"/>
          <w:sz w:val="24"/>
          <w:szCs w:val="24"/>
        </w:rPr>
        <w:t xml:space="preserve"> </w:t>
      </w:r>
      <w:proofErr w:type="spellStart"/>
      <w:r w:rsidRPr="002F316C">
        <w:rPr>
          <w:rFonts w:ascii="Times New Roman" w:hAnsi="Times New Roman" w:cs="Times New Roman"/>
          <w:sz w:val="24"/>
          <w:szCs w:val="24"/>
        </w:rPr>
        <w:t>самозанятых</w:t>
      </w:r>
      <w:proofErr w:type="spellEnd"/>
      <w:r w:rsidRPr="002F316C">
        <w:rPr>
          <w:rFonts w:ascii="Times New Roman" w:hAnsi="Times New Roman" w:cs="Times New Roman"/>
          <w:sz w:val="24"/>
          <w:szCs w:val="24"/>
        </w:rPr>
        <w:t xml:space="preserve"> граждан к соответствующим каналам сбыта и защиты их интересов". Срок реализации - бессрочно, начиная с января 2021 года.</w:t>
      </w:r>
    </w:p>
    <w:p w14:paraId="6C9000CC" w14:textId="77777777" w:rsidR="00E70CB7" w:rsidRPr="002F316C" w:rsidRDefault="00E70CB7" w:rsidP="00E70CB7">
      <w:pPr>
        <w:pStyle w:val="a3"/>
        <w:ind w:firstLine="1134"/>
        <w:rPr>
          <w:rFonts w:ascii="Times New Roman" w:hAnsi="Times New Roman" w:cs="Times New Roman"/>
          <w:sz w:val="24"/>
          <w:szCs w:val="24"/>
        </w:rPr>
      </w:pPr>
    </w:p>
    <w:p w14:paraId="018B042E" w14:textId="486A96CE" w:rsidR="00E70CB7" w:rsidRDefault="00E70CB7" w:rsidP="00E70CB7">
      <w:pPr>
        <w:pStyle w:val="a3"/>
        <w:ind w:firstLine="1134"/>
        <w:rPr>
          <w:rFonts w:ascii="Times New Roman" w:hAnsi="Times New Roman" w:cs="Times New Roman"/>
          <w:b/>
          <w:bCs/>
          <w:sz w:val="24"/>
          <w:szCs w:val="24"/>
        </w:rPr>
      </w:pPr>
    </w:p>
    <w:p w14:paraId="2C1E05AA" w14:textId="77777777" w:rsidR="000C2C7A" w:rsidRPr="000C2C7A" w:rsidRDefault="000C2C7A" w:rsidP="000C2C7A">
      <w:pPr>
        <w:pStyle w:val="a3"/>
        <w:ind w:firstLine="1134"/>
        <w:rPr>
          <w:rFonts w:ascii="Times New Roman" w:hAnsi="Times New Roman" w:cs="Times New Roman"/>
          <w:b/>
          <w:bCs/>
          <w:sz w:val="24"/>
          <w:szCs w:val="24"/>
        </w:rPr>
      </w:pPr>
      <w:r w:rsidRPr="000C2C7A">
        <w:rPr>
          <w:rFonts w:ascii="Times New Roman" w:hAnsi="Times New Roman" w:cs="Times New Roman"/>
          <w:b/>
          <w:bCs/>
          <w:sz w:val="24"/>
          <w:szCs w:val="24"/>
        </w:rPr>
        <w:t>Индекс деловой активности PMI обрабатывающих отраслей России упал ниже критической отметки</w:t>
      </w:r>
    </w:p>
    <w:p w14:paraId="5E1CDCB6" w14:textId="5EF9E14B" w:rsidR="00E70CB7" w:rsidRPr="002F316C" w:rsidRDefault="00E545DC" w:rsidP="00E70CB7">
      <w:pPr>
        <w:pStyle w:val="a3"/>
        <w:ind w:firstLine="1134"/>
        <w:rPr>
          <w:rFonts w:ascii="Times New Roman" w:hAnsi="Times New Roman" w:cs="Times New Roman"/>
          <w:sz w:val="24"/>
          <w:szCs w:val="24"/>
        </w:rPr>
      </w:pPr>
      <w:hyperlink r:id="rId6" w:history="1">
        <w:r w:rsidR="000C2C7A" w:rsidRPr="003A312D">
          <w:rPr>
            <w:rStyle w:val="a5"/>
            <w:rFonts w:ascii="Times New Roman" w:hAnsi="Times New Roman" w:cs="Times New Roman"/>
            <w:sz w:val="24"/>
            <w:szCs w:val="24"/>
          </w:rPr>
          <w:t>https://www.vedomosti.ru/economics/articles/2020/10/04/842059-rukovoditeli-predpriyatii</w:t>
        </w:r>
      </w:hyperlink>
      <w:r w:rsidR="000C2C7A">
        <w:rPr>
          <w:rFonts w:ascii="Times New Roman" w:hAnsi="Times New Roman" w:cs="Times New Roman"/>
          <w:sz w:val="24"/>
          <w:szCs w:val="24"/>
        </w:rPr>
        <w:t xml:space="preserve"> </w:t>
      </w:r>
    </w:p>
    <w:p w14:paraId="654760E5" w14:textId="77777777" w:rsidR="000C2C7A"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Сезонно скорректированный индекс деловой</w:t>
      </w:r>
      <w:r w:rsidR="000C2C7A">
        <w:rPr>
          <w:rFonts w:ascii="Times New Roman" w:hAnsi="Times New Roman" w:cs="Times New Roman"/>
          <w:sz w:val="24"/>
          <w:szCs w:val="24"/>
        </w:rPr>
        <w:t xml:space="preserve"> </w:t>
      </w:r>
      <w:r w:rsidRPr="002F316C">
        <w:rPr>
          <w:rFonts w:ascii="Times New Roman" w:hAnsi="Times New Roman" w:cs="Times New Roman"/>
          <w:sz w:val="24"/>
          <w:szCs w:val="24"/>
        </w:rPr>
        <w:t xml:space="preserve">активности PMI обрабатывающих отраслей России в сентябре снизился до 48,9 пункта с 51,1 пункта в августе, оказавшись ниже критической отметки в 50 пунктов, показало исследование IHS </w:t>
      </w:r>
      <w:proofErr w:type="spellStart"/>
      <w:r w:rsidRPr="002F316C">
        <w:rPr>
          <w:rFonts w:ascii="Times New Roman" w:hAnsi="Times New Roman" w:cs="Times New Roman"/>
          <w:sz w:val="24"/>
          <w:szCs w:val="24"/>
        </w:rPr>
        <w:t>Markit</w:t>
      </w:r>
      <w:proofErr w:type="spellEnd"/>
      <w:r w:rsidRPr="002F316C">
        <w:rPr>
          <w:rFonts w:ascii="Times New Roman" w:hAnsi="Times New Roman" w:cs="Times New Roman"/>
          <w:sz w:val="24"/>
          <w:szCs w:val="24"/>
        </w:rPr>
        <w:t xml:space="preserve">. </w:t>
      </w:r>
    </w:p>
    <w:p w14:paraId="1098A9F1" w14:textId="7AA69FA4"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В апреле 2020 г. PMI рухнул до отметки в 31,3 пункта против 47,5 пункта месяцем ранее. По данным IHS </w:t>
      </w:r>
      <w:proofErr w:type="spellStart"/>
      <w:r w:rsidRPr="002F316C">
        <w:rPr>
          <w:rFonts w:ascii="Times New Roman" w:hAnsi="Times New Roman" w:cs="Times New Roman"/>
          <w:sz w:val="24"/>
          <w:szCs w:val="24"/>
        </w:rPr>
        <w:t>Markit</w:t>
      </w:r>
      <w:proofErr w:type="spellEnd"/>
      <w:r w:rsidRPr="002F316C">
        <w:rPr>
          <w:rFonts w:ascii="Times New Roman" w:hAnsi="Times New Roman" w:cs="Times New Roman"/>
          <w:sz w:val="24"/>
          <w:szCs w:val="24"/>
        </w:rPr>
        <w:t xml:space="preserve">, это падение оказалось рекордным с 1997 г. После этого индекс рос и в августе на фоне резкого увеличения спроса достиг максимального значения за последние полтора года. Однако в сентябре снова произошел провал. «PMI вновь упал за критическую отметку на фоне падения новых заказов», – отмечается в сообщении IHS </w:t>
      </w:r>
      <w:proofErr w:type="spellStart"/>
      <w:r w:rsidRPr="002F316C">
        <w:rPr>
          <w:rFonts w:ascii="Times New Roman" w:hAnsi="Times New Roman" w:cs="Times New Roman"/>
          <w:sz w:val="24"/>
          <w:szCs w:val="24"/>
        </w:rPr>
        <w:t>Markit</w:t>
      </w:r>
      <w:proofErr w:type="spellEnd"/>
      <w:r w:rsidRPr="002F316C">
        <w:rPr>
          <w:rFonts w:ascii="Times New Roman" w:hAnsi="Times New Roman" w:cs="Times New Roman"/>
          <w:sz w:val="24"/>
          <w:szCs w:val="24"/>
        </w:rPr>
        <w:t>.</w:t>
      </w:r>
    </w:p>
    <w:p w14:paraId="4BBC4F34"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Сокращение спроса в сентябре еще не привело к снижению объемов производства, но заставило предприятия сокращать работников и повышать отпускные цены на свою продукцию: в первый месяц осени темпы производственной инфляции были самыми высокими за последние четыре месяца. «Чтобы выжить в условиях сокращения спроса, компании стали сокращать расходы, распродавать складские остатки </w:t>
      </w:r>
      <w:r w:rsidRPr="002F316C">
        <w:rPr>
          <w:rFonts w:ascii="Times New Roman" w:hAnsi="Times New Roman" w:cs="Times New Roman"/>
          <w:sz w:val="24"/>
          <w:szCs w:val="24"/>
        </w:rPr>
        <w:lastRenderedPageBreak/>
        <w:t xml:space="preserve">и экономить на закупках сырья и оборудования. В сентябре бизнес еще сохранял оптимизм в отношении роста производства в ближайшие 12 месяцев на фоне надежд на прекращение пандемии и разработку новых продуктов. Однако степень уверенности была самой низкой с момента завершения </w:t>
      </w:r>
      <w:proofErr w:type="spellStart"/>
      <w:r w:rsidRPr="002F316C">
        <w:rPr>
          <w:rFonts w:ascii="Times New Roman" w:hAnsi="Times New Roman" w:cs="Times New Roman"/>
          <w:sz w:val="24"/>
          <w:szCs w:val="24"/>
        </w:rPr>
        <w:t>локдауна</w:t>
      </w:r>
      <w:proofErr w:type="spellEnd"/>
      <w:r w:rsidRPr="002F316C">
        <w:rPr>
          <w:rFonts w:ascii="Times New Roman" w:hAnsi="Times New Roman" w:cs="Times New Roman"/>
          <w:sz w:val="24"/>
          <w:szCs w:val="24"/>
        </w:rPr>
        <w:t xml:space="preserve">», – подчеркивается в сообщении IHS </w:t>
      </w:r>
      <w:proofErr w:type="spellStart"/>
      <w:r w:rsidRPr="002F316C">
        <w:rPr>
          <w:rFonts w:ascii="Times New Roman" w:hAnsi="Times New Roman" w:cs="Times New Roman"/>
          <w:sz w:val="24"/>
          <w:szCs w:val="24"/>
        </w:rPr>
        <w:t>Markit</w:t>
      </w:r>
      <w:proofErr w:type="spellEnd"/>
      <w:r w:rsidRPr="002F316C">
        <w:rPr>
          <w:rFonts w:ascii="Times New Roman" w:hAnsi="Times New Roman" w:cs="Times New Roman"/>
          <w:sz w:val="24"/>
          <w:szCs w:val="24"/>
        </w:rPr>
        <w:t>.</w:t>
      </w:r>
    </w:p>
    <w:p w14:paraId="123750C4" w14:textId="77777777"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Руководитель направления реального сектора ЦМАКП Владимир Сальников обращает внимание на то, что индекс PMI отражает субъективные настроения предпринимателей, так как это опросный индикатор (IHS </w:t>
      </w:r>
      <w:proofErr w:type="spellStart"/>
      <w:r w:rsidRPr="002F316C">
        <w:rPr>
          <w:rFonts w:ascii="Times New Roman" w:hAnsi="Times New Roman" w:cs="Times New Roman"/>
          <w:sz w:val="24"/>
          <w:szCs w:val="24"/>
        </w:rPr>
        <w:t>Markit</w:t>
      </w:r>
      <w:proofErr w:type="spellEnd"/>
      <w:r w:rsidRPr="002F316C">
        <w:rPr>
          <w:rFonts w:ascii="Times New Roman" w:hAnsi="Times New Roman" w:cs="Times New Roman"/>
          <w:sz w:val="24"/>
          <w:szCs w:val="24"/>
        </w:rPr>
        <w:t xml:space="preserve"> анализирует ответы на вопросы анкет, ежемесячно получаемые от руководителей 300 промышленных предприятий). Реальность же, по его расчетам, не столь пессимистична.</w:t>
      </w:r>
    </w:p>
    <w:p w14:paraId="60223DD4" w14:textId="5448EEE3" w:rsidR="00E70CB7" w:rsidRPr="002F316C"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«Улучшение фиксируется по подавляющему большинству отслеживаемых ранних индикаторов», – подчеркивает экономист. Так, объем электропотребления, отражающий производственную активность электроемких потребителей, после заминки в августе в сентябре продолжил активно восстанавливаться, увеличившись относительно предыдущего месяца на 1,7%. Электропотребление в сентябре составило 98,8% от докризисного мартовского уровня. В части экспортно-сырьевых грузов объем погрузки остается неизменным третий месяц подряд. При этом в сентябре был зафиксирован рост железнодорожных грузовых перевозок. «Положительная динамика обеспечивается довольно значительным наращиванием объемов строительных грузов, погрузка которых активно увеличивается с июня и к сентябрю уже достигла максимального за последние четыре года уровня», – подчеркивает Сальников.</w:t>
      </w:r>
    </w:p>
    <w:p w14:paraId="640331B4" w14:textId="05EC92F2" w:rsidR="00E70CB7" w:rsidRDefault="00E70CB7" w:rsidP="00E70CB7">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Однако эксперты не ждут продолжения бурного роста экономики. По мнению Сальникова, «скачок отложенного спроса завершился и в ближайшие месяцы спрос будет на 8% ниже докризисного уровня». </w:t>
      </w:r>
    </w:p>
    <w:p w14:paraId="5FCDF70C" w14:textId="1ABD122B" w:rsidR="000C2C7A" w:rsidRDefault="000C2C7A" w:rsidP="00E70CB7">
      <w:pPr>
        <w:pStyle w:val="a3"/>
        <w:ind w:firstLine="1134"/>
        <w:rPr>
          <w:rFonts w:ascii="Times New Roman" w:hAnsi="Times New Roman" w:cs="Times New Roman"/>
          <w:sz w:val="24"/>
          <w:szCs w:val="24"/>
        </w:rPr>
      </w:pPr>
    </w:p>
    <w:p w14:paraId="626EB3E4" w14:textId="4BF826FA" w:rsidR="000C2C7A" w:rsidRDefault="000C2C7A" w:rsidP="00E70CB7">
      <w:pPr>
        <w:pStyle w:val="a3"/>
        <w:ind w:firstLine="1134"/>
        <w:rPr>
          <w:rFonts w:ascii="Times New Roman" w:hAnsi="Times New Roman" w:cs="Times New Roman"/>
          <w:sz w:val="24"/>
          <w:szCs w:val="24"/>
        </w:rPr>
      </w:pPr>
    </w:p>
    <w:p w14:paraId="2B084A59" w14:textId="77777777" w:rsidR="000C2C7A" w:rsidRPr="000C2C7A" w:rsidRDefault="000C2C7A" w:rsidP="000C2C7A">
      <w:pPr>
        <w:pStyle w:val="a3"/>
        <w:ind w:firstLine="1134"/>
        <w:rPr>
          <w:rFonts w:ascii="Times New Roman" w:hAnsi="Times New Roman" w:cs="Times New Roman"/>
          <w:b/>
          <w:bCs/>
          <w:sz w:val="24"/>
          <w:szCs w:val="24"/>
        </w:rPr>
      </w:pPr>
      <w:r w:rsidRPr="000C2C7A">
        <w:rPr>
          <w:rFonts w:ascii="Times New Roman" w:hAnsi="Times New Roman" w:cs="Times New Roman"/>
          <w:b/>
          <w:bCs/>
          <w:sz w:val="24"/>
          <w:szCs w:val="24"/>
        </w:rPr>
        <w:t xml:space="preserve">Россия превратится в </w:t>
      </w:r>
      <w:proofErr w:type="spellStart"/>
      <w:r w:rsidRPr="000C2C7A">
        <w:rPr>
          <w:rFonts w:ascii="Times New Roman" w:hAnsi="Times New Roman" w:cs="Times New Roman"/>
          <w:b/>
          <w:bCs/>
          <w:sz w:val="24"/>
          <w:szCs w:val="24"/>
        </w:rPr>
        <w:t>полиэтиленоколонку</w:t>
      </w:r>
      <w:proofErr w:type="spellEnd"/>
      <w:r>
        <w:rPr>
          <w:rFonts w:ascii="Times New Roman" w:hAnsi="Times New Roman" w:cs="Times New Roman"/>
          <w:b/>
          <w:bCs/>
          <w:sz w:val="24"/>
          <w:szCs w:val="24"/>
        </w:rPr>
        <w:t xml:space="preserve"> (ДЛЯ СПРАВКИ)</w:t>
      </w:r>
    </w:p>
    <w:p w14:paraId="78190AE6" w14:textId="77777777" w:rsidR="000C2C7A" w:rsidRPr="002F316C" w:rsidRDefault="00E545DC" w:rsidP="000C2C7A">
      <w:pPr>
        <w:pStyle w:val="a3"/>
        <w:ind w:firstLine="1134"/>
        <w:rPr>
          <w:rFonts w:ascii="Times New Roman" w:hAnsi="Times New Roman" w:cs="Times New Roman"/>
          <w:sz w:val="24"/>
          <w:szCs w:val="24"/>
        </w:rPr>
      </w:pPr>
      <w:hyperlink r:id="rId7" w:history="1">
        <w:r w:rsidR="000C2C7A" w:rsidRPr="003A312D">
          <w:rPr>
            <w:rStyle w:val="a5"/>
            <w:rFonts w:ascii="Times New Roman" w:hAnsi="Times New Roman" w:cs="Times New Roman"/>
            <w:sz w:val="24"/>
            <w:szCs w:val="24"/>
          </w:rPr>
          <w:t>https://ria.ru/20201004/neftegazokhimiya-1578149535.html</w:t>
        </w:r>
      </w:hyperlink>
      <w:r w:rsidR="000C2C7A">
        <w:rPr>
          <w:rFonts w:ascii="Times New Roman" w:hAnsi="Times New Roman" w:cs="Times New Roman"/>
          <w:sz w:val="24"/>
          <w:szCs w:val="24"/>
        </w:rPr>
        <w:t xml:space="preserve"> </w:t>
      </w:r>
    </w:p>
    <w:p w14:paraId="73C42033"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 условиях известных трудностей на нефтяном и газовом рынках тема нефтегазохимии сохраняет актуальность. Что здесь произошло за последние месяцы? Обсуждать новости лучше по секторам.</w:t>
      </w:r>
    </w:p>
    <w:p w14:paraId="46142E1A"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Главный сектор, к которому приковано основное внимание, — это производство полиэтилена и полипропилена из выделяемых из природного газа так называемых жирных фракций — этана и других углеводородов. Новые газохимические комплексы пока в стадии проектов, в этой сфере — Амурский ГХК, Балтийский ГХК, завод полимеров Иркутской нефтяной компании. Все они для начала реализации ожидали решения по так называемому обратному акцизу (предполагает дополнительные выплаты за переработку сырья), позволяющему достичь необходимой рентабельности производства. Сейчас закон проходит все чтения в Государственной думе. И компании, не дожидаясь формальностей, уже приступили к строительству заводов. "</w:t>
      </w:r>
      <w:proofErr w:type="spellStart"/>
      <w:r w:rsidRPr="002F316C">
        <w:rPr>
          <w:rFonts w:ascii="Times New Roman" w:hAnsi="Times New Roman" w:cs="Times New Roman"/>
          <w:sz w:val="24"/>
          <w:szCs w:val="24"/>
        </w:rPr>
        <w:t>Сибур</w:t>
      </w:r>
      <w:proofErr w:type="spellEnd"/>
      <w:r w:rsidRPr="002F316C">
        <w:rPr>
          <w:rFonts w:ascii="Times New Roman" w:hAnsi="Times New Roman" w:cs="Times New Roman"/>
          <w:sz w:val="24"/>
          <w:szCs w:val="24"/>
        </w:rPr>
        <w:t>", владелец Амурского ГХК (а на завод пойдут "жирные" фракции из газа "Силы Сибири"), приступил к строительству в августе. Одновременно ООО "Иркутская нефтяная компания" уже вовсю доставляет установки для будущего производства на свою площадку.</w:t>
      </w:r>
    </w:p>
    <w:p w14:paraId="0F3972BD" w14:textId="77777777" w:rsidR="000C2C7A" w:rsidRPr="002F316C" w:rsidRDefault="000C2C7A" w:rsidP="000C2C7A">
      <w:pPr>
        <w:pStyle w:val="a3"/>
        <w:ind w:firstLine="1134"/>
        <w:rPr>
          <w:rFonts w:ascii="Times New Roman" w:hAnsi="Times New Roman" w:cs="Times New Roman"/>
          <w:sz w:val="24"/>
          <w:szCs w:val="24"/>
        </w:rPr>
      </w:pPr>
    </w:p>
    <w:p w14:paraId="29F38797"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Есть новости и по третьему проекту, Балтийскому ГХК. Напомним, что сам проект уникален по своей концепции. Сначала "жирный" газ (по сути газ, принадлежащий "Газпрому") в объеме 45 миллиардов кубометров поставляется на комплекс газопереработки (ГПЗ), где из него выделяются "жирные" фракции (этан и сжиженные углеводородные газы, свыше шести миллионов тонн), а также часть "сухого" газа, которая идет на производство СПГ (13 миллионов тонн). Оставшийся газ в объеме 18 миллиардов кубометров возвращается в газотранспортную систему страны. В </w:t>
      </w:r>
      <w:r w:rsidRPr="002F316C">
        <w:rPr>
          <w:rFonts w:ascii="Times New Roman" w:hAnsi="Times New Roman" w:cs="Times New Roman"/>
          <w:sz w:val="24"/>
          <w:szCs w:val="24"/>
        </w:rPr>
        <w:lastRenderedPageBreak/>
        <w:t>дальнейшем из выделенных "жирных" фракций будут производиться полимеры на газохимическом комплексе (ГХК).</w:t>
      </w:r>
    </w:p>
    <w:p w14:paraId="7EA577E7"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Любопытна также и схема владения, она следующая: блок "ГПЗ плюс СПГ" будет принадлежать компании "</w:t>
      </w:r>
      <w:proofErr w:type="spellStart"/>
      <w:r w:rsidRPr="002F316C">
        <w:rPr>
          <w:rFonts w:ascii="Times New Roman" w:hAnsi="Times New Roman" w:cs="Times New Roman"/>
          <w:sz w:val="24"/>
          <w:szCs w:val="24"/>
        </w:rPr>
        <w:t>Русхимальянс</w:t>
      </w:r>
      <w:proofErr w:type="spellEnd"/>
      <w:r w:rsidRPr="002F316C">
        <w:rPr>
          <w:rFonts w:ascii="Times New Roman" w:hAnsi="Times New Roman" w:cs="Times New Roman"/>
          <w:sz w:val="24"/>
          <w:szCs w:val="24"/>
        </w:rPr>
        <w:t>" (в равных долях "Газпром" и "</w:t>
      </w:r>
      <w:proofErr w:type="spellStart"/>
      <w:r w:rsidRPr="002F316C">
        <w:rPr>
          <w:rFonts w:ascii="Times New Roman" w:hAnsi="Times New Roman" w:cs="Times New Roman"/>
          <w:sz w:val="24"/>
          <w:szCs w:val="24"/>
        </w:rPr>
        <w:t>Русгаздобыча</w:t>
      </w:r>
      <w:proofErr w:type="spellEnd"/>
      <w:r w:rsidRPr="002F316C">
        <w:rPr>
          <w:rFonts w:ascii="Times New Roman" w:hAnsi="Times New Roman" w:cs="Times New Roman"/>
          <w:sz w:val="24"/>
          <w:szCs w:val="24"/>
        </w:rPr>
        <w:t>"), а ГХК будет принадлежать только "</w:t>
      </w:r>
      <w:proofErr w:type="spellStart"/>
      <w:r w:rsidRPr="002F316C">
        <w:rPr>
          <w:rFonts w:ascii="Times New Roman" w:hAnsi="Times New Roman" w:cs="Times New Roman"/>
          <w:sz w:val="24"/>
          <w:szCs w:val="24"/>
        </w:rPr>
        <w:t>Русгаздобыче</w:t>
      </w:r>
      <w:proofErr w:type="spellEnd"/>
      <w:r w:rsidRPr="002F316C">
        <w:rPr>
          <w:rFonts w:ascii="Times New Roman" w:hAnsi="Times New Roman" w:cs="Times New Roman"/>
          <w:sz w:val="24"/>
          <w:szCs w:val="24"/>
        </w:rPr>
        <w:t>". Соответственно, вопрос цены, по которой сырье будет переходить от одной компании другой, — не формальный. Как уже обсуждалось ранее, та или иная стоимость газа, этана и других углеводородов, которые попадают на ГХК, способна смещать экономику связанных проектов от одного к другому.</w:t>
      </w:r>
    </w:p>
    <w:p w14:paraId="2CF5E722"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И вот в августе стало известно, что сырье для </w:t>
      </w:r>
      <w:proofErr w:type="spellStart"/>
      <w:r w:rsidRPr="002F316C">
        <w:rPr>
          <w:rFonts w:ascii="Times New Roman" w:hAnsi="Times New Roman" w:cs="Times New Roman"/>
          <w:sz w:val="24"/>
          <w:szCs w:val="24"/>
        </w:rPr>
        <w:t>газопереработки</w:t>
      </w:r>
      <w:proofErr w:type="spellEnd"/>
      <w:r w:rsidRPr="002F316C">
        <w:rPr>
          <w:rFonts w:ascii="Times New Roman" w:hAnsi="Times New Roman" w:cs="Times New Roman"/>
          <w:sz w:val="24"/>
          <w:szCs w:val="24"/>
        </w:rPr>
        <w:t xml:space="preserve"> будет передаваться "</w:t>
      </w:r>
      <w:proofErr w:type="spellStart"/>
      <w:r w:rsidRPr="002F316C">
        <w:rPr>
          <w:rFonts w:ascii="Times New Roman" w:hAnsi="Times New Roman" w:cs="Times New Roman"/>
          <w:sz w:val="24"/>
          <w:szCs w:val="24"/>
        </w:rPr>
        <w:t>Русхимальянсу</w:t>
      </w:r>
      <w:proofErr w:type="spellEnd"/>
      <w:r w:rsidRPr="002F316C">
        <w:rPr>
          <w:rFonts w:ascii="Times New Roman" w:hAnsi="Times New Roman" w:cs="Times New Roman"/>
          <w:sz w:val="24"/>
          <w:szCs w:val="24"/>
        </w:rPr>
        <w:t>" по регулируемой оптовой цене для Ленинградской области. Это означает, что возможные прибыли от более высокой экспортной цены продуктов производства "Газпром" разделит с партнером в рамках СП. О ценообразовании на этан и другие углеводороды, которые далее по цепочке перейдут от ГПЗ к ГХК, пока не сообщалось.</w:t>
      </w:r>
    </w:p>
    <w:p w14:paraId="70B0D3E6"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Второй сектор компаний, проявляющих усиленный интерес к нефтехимии, — это классические нефтяные компании, в ряде случаев здесь нефтехимия находится в одном комплексе с традиционной нефтепереработкой (то есть выпуском жидких топлив).</w:t>
      </w:r>
    </w:p>
    <w:p w14:paraId="4ABE0282"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Таким, например, является проект "Роснефти". Там вспомнили о старом и до недавнего времени подзабытом проекте "Восточная нефтехимическая компания" с солидным объемом инвестиций, составляющим в максимальном варианте до полутора триллионов рублей. Пока реализация под вопросом: для окупаемости нужны дополнительные льготы. В свою очередь, регуляторы оценивают, сможет ли предоставление этих льгот привести в результате к дополнительным налоговым поступлениям. Ведь именно такой эффект ожидается в обсужденных выше проектах </w:t>
      </w:r>
      <w:proofErr w:type="spellStart"/>
      <w:r w:rsidRPr="002F316C">
        <w:rPr>
          <w:rFonts w:ascii="Times New Roman" w:hAnsi="Times New Roman" w:cs="Times New Roman"/>
          <w:sz w:val="24"/>
          <w:szCs w:val="24"/>
        </w:rPr>
        <w:t>газохимии</w:t>
      </w:r>
      <w:proofErr w:type="spellEnd"/>
      <w:r w:rsidRPr="002F316C">
        <w:rPr>
          <w:rFonts w:ascii="Times New Roman" w:hAnsi="Times New Roman" w:cs="Times New Roman"/>
          <w:sz w:val="24"/>
          <w:szCs w:val="24"/>
        </w:rPr>
        <w:t>, когда, казалось бы, прямые субсидии на переработку сырья (обратный акциз) приведут к намного большим доходам бюджета за счет налоговых выплат.</w:t>
      </w:r>
    </w:p>
    <w:p w14:paraId="76731B0D"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 свою очередь, "Татнефть" запланировала масштабные инвестиции в нефтехимию, еще год назад была принята амбициозная программа на 600 миллиардов рублей. Правда, последние инициативы по усилению налоговой нагрузки могут поставить под вопрос темпы реализации. С одной стороны, новые налоги на добычу как раз и стимулируют компании больше вкладывать в переработку. Но с другой — в целом свободных денег у компаний для инвестиций в любом случае останется меньше.</w:t>
      </w:r>
    </w:p>
    <w:p w14:paraId="38E1BC28"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 любом случае развитие сектора в нашей стране приведет и уже приводит к двум следствиям. Во-первых, Россия переходит от чистого импорта к экспорту продукции в сегменте крупнотоннажных полимеров. Принципиальный сдвиг происходит по мере выхода "</w:t>
      </w:r>
      <w:proofErr w:type="spellStart"/>
      <w:r w:rsidRPr="002F316C">
        <w:rPr>
          <w:rFonts w:ascii="Times New Roman" w:hAnsi="Times New Roman" w:cs="Times New Roman"/>
          <w:sz w:val="24"/>
          <w:szCs w:val="24"/>
        </w:rPr>
        <w:t>Запсибнефтехима</w:t>
      </w:r>
      <w:proofErr w:type="spellEnd"/>
      <w:r w:rsidRPr="002F316C">
        <w:rPr>
          <w:rFonts w:ascii="Times New Roman" w:hAnsi="Times New Roman" w:cs="Times New Roman"/>
          <w:sz w:val="24"/>
          <w:szCs w:val="24"/>
        </w:rPr>
        <w:t>" компании "</w:t>
      </w:r>
      <w:proofErr w:type="spellStart"/>
      <w:r w:rsidRPr="002F316C">
        <w:rPr>
          <w:rFonts w:ascii="Times New Roman" w:hAnsi="Times New Roman" w:cs="Times New Roman"/>
          <w:sz w:val="24"/>
          <w:szCs w:val="24"/>
        </w:rPr>
        <w:t>Сибур</w:t>
      </w:r>
      <w:proofErr w:type="spellEnd"/>
      <w:r w:rsidRPr="002F316C">
        <w:rPr>
          <w:rFonts w:ascii="Times New Roman" w:hAnsi="Times New Roman" w:cs="Times New Roman"/>
          <w:sz w:val="24"/>
          <w:szCs w:val="24"/>
        </w:rPr>
        <w:t>" на полную мощность. Во-вторых, на этом фоне стоит ожидать и конкуренции между различными производителями внутри страны.</w:t>
      </w:r>
    </w:p>
    <w:p w14:paraId="46FC1CE1"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Полимеры — в первую очередь полиэтилен и полипропилен — крупнейший (и наиболее понятный со стороны) сегмент нефтехимии. Но полимерами дело, разумеется, не ограничивается.</w:t>
      </w:r>
    </w:p>
    <w:p w14:paraId="50ECAF1E"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Любопытный сюжет — это производство малеинового ангидрида. История интересна, потому как 1) в нашей стране он до настоящего времени не производится, 2) со своими проектами выходят сразу две компании, что подразумевает даже конкуренцию. Поэтому, несмотря на отраслевую специфику, уместно остановиться на нескольких подробностях.</w:t>
      </w:r>
    </w:p>
    <w:p w14:paraId="2306E166"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В мире его производится около двух миллионов тонн в год. То есть по объемам это не двести миллионов тонн полимеров, но и не малотоннажное производство, не какая-то "эксклюзивная" химия. Производство основано на окислении бутана (четыре атома углерода) — это как раз одна из "жирных" фракций природного газа (или очень легкая фракция в нефти).</w:t>
      </w:r>
    </w:p>
    <w:p w14:paraId="5A01D52D"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lastRenderedPageBreak/>
        <w:t>В нашей стране "</w:t>
      </w:r>
      <w:proofErr w:type="spellStart"/>
      <w:r w:rsidRPr="002F316C">
        <w:rPr>
          <w:rFonts w:ascii="Times New Roman" w:hAnsi="Times New Roman" w:cs="Times New Roman"/>
          <w:sz w:val="24"/>
          <w:szCs w:val="24"/>
        </w:rPr>
        <w:t>Сибур</w:t>
      </w:r>
      <w:proofErr w:type="spellEnd"/>
      <w:r w:rsidRPr="002F316C">
        <w:rPr>
          <w:rFonts w:ascii="Times New Roman" w:hAnsi="Times New Roman" w:cs="Times New Roman"/>
          <w:sz w:val="24"/>
          <w:szCs w:val="24"/>
        </w:rPr>
        <w:t>" планирует достроить свое производство в Тобольске для получения этого продукта уже в 2021 году, мощность — 45 тысяч тонн, хватит и на экспорт. В свою очередь, к 2023 году свое производство мощностью 50 тысяч тонн в год организует и "Татнефть".</w:t>
      </w:r>
    </w:p>
    <w:p w14:paraId="135C185C"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Сюжет с малеиновым ангидридом показывает еще одну особенность: потребление в России всего шести тысяч тонн по сравнению с мировым спросом в два миллиона. Есть куда расти. Соединение используется в основном как промежуточный продукт для синтеза полиэфирных смол, которые, в свою очередь, применяются в судостроении, автомобилестроении, строительстве.</w:t>
      </w:r>
    </w:p>
    <w:p w14:paraId="4F1F424F"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И здесь мы подходим к следующей проблеме. Если по базовым продуктам нефтехимии наша страна вот-вот выйдет на экспорт, то по продуктам более высоких переделов, высокотехнологическим пластикам, лакам, краскам мы в любом случае остаемся импортерами. Есть куда развиваться — но теперь не экстенсивно, а увеличивая переделы, добавленную стоимость. Тем более что по базовым полимерам на глобальном рынке со спросом тоже все непросто. А импортозамещение более сложных продуктов (а в будущем и экспорт) — это практически гарантированный спрос и снижение валютных расходов страны.</w:t>
      </w:r>
    </w:p>
    <w:p w14:paraId="7D3FB613"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 xml:space="preserve">Обо всем этом недавно говорил профильный вице-премьер Юрий Борисов. По его словам, в Госдуму передан законопроект, стимулирующий за счет обратного акциза и вычета при производстве этана и </w:t>
      </w:r>
      <w:proofErr w:type="spellStart"/>
      <w:r w:rsidRPr="002F316C">
        <w:rPr>
          <w:rFonts w:ascii="Times New Roman" w:hAnsi="Times New Roman" w:cs="Times New Roman"/>
          <w:sz w:val="24"/>
          <w:szCs w:val="24"/>
        </w:rPr>
        <w:t>СУГов</w:t>
      </w:r>
      <w:proofErr w:type="spellEnd"/>
      <w:r w:rsidRPr="002F316C">
        <w:rPr>
          <w:rFonts w:ascii="Times New Roman" w:hAnsi="Times New Roman" w:cs="Times New Roman"/>
          <w:sz w:val="24"/>
          <w:szCs w:val="24"/>
        </w:rPr>
        <w:t xml:space="preserve"> инвестиционную привлекательность этой отрасли.</w:t>
      </w:r>
    </w:p>
    <w:p w14:paraId="1038EDE4"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Однако, по мнению Борисова, и на этом не стоит останавливаться, "потому что этот закон стимулирует только исходный материал, который лежит в начале технологической цепочки для производства продуктов нефтехимии. Есть смысл поговорить и о следующих этапах передела, которые ближе уже к финальной продукции, &lt;...&gt; очень многие продукты нефтехимии сегодня не производятся в России".</w:t>
      </w:r>
    </w:p>
    <w:p w14:paraId="730B0862" w14:textId="77777777" w:rsidR="000C2C7A" w:rsidRPr="002F316C" w:rsidRDefault="000C2C7A" w:rsidP="000C2C7A">
      <w:pPr>
        <w:pStyle w:val="a3"/>
        <w:ind w:firstLine="1134"/>
        <w:rPr>
          <w:rFonts w:ascii="Times New Roman" w:hAnsi="Times New Roman" w:cs="Times New Roman"/>
          <w:sz w:val="24"/>
          <w:szCs w:val="24"/>
        </w:rPr>
      </w:pPr>
      <w:r w:rsidRPr="002F316C">
        <w:rPr>
          <w:rFonts w:ascii="Times New Roman" w:hAnsi="Times New Roman" w:cs="Times New Roman"/>
          <w:sz w:val="24"/>
          <w:szCs w:val="24"/>
        </w:rPr>
        <w:t>Звучит довольно оптимистично для отрасли.</w:t>
      </w:r>
    </w:p>
    <w:p w14:paraId="094D9F86" w14:textId="77777777" w:rsidR="000C2C7A" w:rsidRPr="002F316C" w:rsidRDefault="000C2C7A" w:rsidP="000C2C7A">
      <w:pPr>
        <w:pStyle w:val="a3"/>
        <w:ind w:firstLine="1134"/>
        <w:rPr>
          <w:rFonts w:ascii="Times New Roman" w:hAnsi="Times New Roman" w:cs="Times New Roman"/>
          <w:sz w:val="24"/>
          <w:szCs w:val="24"/>
        </w:rPr>
      </w:pPr>
    </w:p>
    <w:p w14:paraId="01ED9E57" w14:textId="77777777" w:rsidR="000C2C7A" w:rsidRPr="002F316C" w:rsidRDefault="000C2C7A" w:rsidP="000C2C7A">
      <w:pPr>
        <w:pStyle w:val="a3"/>
        <w:ind w:firstLine="1134"/>
        <w:rPr>
          <w:rFonts w:ascii="Times New Roman" w:hAnsi="Times New Roman" w:cs="Times New Roman"/>
          <w:sz w:val="24"/>
          <w:szCs w:val="24"/>
        </w:rPr>
      </w:pPr>
    </w:p>
    <w:p w14:paraId="09FC319F" w14:textId="77777777" w:rsidR="000C2C7A" w:rsidRPr="002F316C" w:rsidRDefault="000C2C7A" w:rsidP="00E70CB7">
      <w:pPr>
        <w:pStyle w:val="a3"/>
        <w:ind w:firstLine="1134"/>
        <w:rPr>
          <w:rFonts w:ascii="Times New Roman" w:hAnsi="Times New Roman" w:cs="Times New Roman"/>
          <w:sz w:val="24"/>
          <w:szCs w:val="24"/>
        </w:rPr>
      </w:pPr>
    </w:p>
    <w:sectPr w:rsidR="000C2C7A" w:rsidRPr="002F316C" w:rsidSect="00FB69C5">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B7"/>
    <w:rsid w:val="000C2C7A"/>
    <w:rsid w:val="002F316C"/>
    <w:rsid w:val="00E545DC"/>
    <w:rsid w:val="00E7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D9C5"/>
  <w15:chartTrackingRefBased/>
  <w15:docId w15:val="{9F17DC09-24A5-4524-B044-266C1C17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B69C5"/>
    <w:pPr>
      <w:spacing w:after="0" w:line="240" w:lineRule="auto"/>
    </w:pPr>
    <w:rPr>
      <w:rFonts w:ascii="Consolas" w:hAnsi="Consolas"/>
      <w:sz w:val="21"/>
      <w:szCs w:val="21"/>
    </w:rPr>
  </w:style>
  <w:style w:type="character" w:customStyle="1" w:styleId="a4">
    <w:name w:val="Текст Знак"/>
    <w:basedOn w:val="a0"/>
    <w:link w:val="a3"/>
    <w:uiPriority w:val="99"/>
    <w:rsid w:val="00FB69C5"/>
    <w:rPr>
      <w:rFonts w:ascii="Consolas" w:hAnsi="Consolas"/>
      <w:sz w:val="21"/>
      <w:szCs w:val="21"/>
    </w:rPr>
  </w:style>
  <w:style w:type="character" w:styleId="a5">
    <w:name w:val="Hyperlink"/>
    <w:basedOn w:val="a0"/>
    <w:uiPriority w:val="99"/>
    <w:unhideWhenUsed/>
    <w:rsid w:val="002F316C"/>
    <w:rPr>
      <w:color w:val="0563C1" w:themeColor="hyperlink"/>
      <w:u w:val="single"/>
    </w:rPr>
  </w:style>
  <w:style w:type="character" w:customStyle="1" w:styleId="UnresolvedMention">
    <w:name w:val="Unresolved Mention"/>
    <w:basedOn w:val="a0"/>
    <w:uiPriority w:val="99"/>
    <w:semiHidden/>
    <w:unhideWhenUsed/>
    <w:rsid w:val="002F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a.ru/20201004/neftegazokhimiya-157814953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domosti.ru/economics/articles/2020/10/04/842059-rukovoditeli-predpriyatii" TargetMode="External"/><Relationship Id="rId5" Type="http://schemas.openxmlformats.org/officeDocument/2006/relationships/hyperlink" Target="https://tass.ru/ekonomika/9620019" TargetMode="External"/><Relationship Id="rId4" Type="http://schemas.openxmlformats.org/officeDocument/2006/relationships/hyperlink" Target="https://tass.ru/ekonomika/962640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Васильев</dc:creator>
  <cp:keywords/>
  <dc:description/>
  <cp:lastModifiedBy>Светлана Павловна Макаровских</cp:lastModifiedBy>
  <cp:revision>2</cp:revision>
  <dcterms:created xsi:type="dcterms:W3CDTF">2020-10-08T09:28:00Z</dcterms:created>
  <dcterms:modified xsi:type="dcterms:W3CDTF">2020-10-08T09:28:00Z</dcterms:modified>
</cp:coreProperties>
</file>