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8679" w14:textId="26948E2F" w:rsidR="007919AF" w:rsidRDefault="008779E4" w:rsidP="00E161D4">
      <w:pPr>
        <w:pStyle w:val="30"/>
        <w:shd w:val="clear" w:color="auto" w:fill="auto"/>
        <w:spacing w:before="0" w:after="0" w:line="240" w:lineRule="auto"/>
        <w:ind w:firstLine="840"/>
        <w:jc w:val="center"/>
      </w:pPr>
      <w:r>
        <w:t>Доклад об антим</w:t>
      </w:r>
      <w:r w:rsidR="00E161D4">
        <w:t>о</w:t>
      </w:r>
      <w:r>
        <w:t>нопольно</w:t>
      </w:r>
      <w:r w:rsidR="00E161D4">
        <w:t>м</w:t>
      </w:r>
      <w:r>
        <w:t xml:space="preserve"> комплаенсе в администрации С</w:t>
      </w:r>
      <w:r w:rsidR="00E161D4">
        <w:t>основского</w:t>
      </w:r>
      <w:r>
        <w:t xml:space="preserve"> </w:t>
      </w:r>
      <w:r w:rsidR="00E161D4">
        <w:t xml:space="preserve">муниципального </w:t>
      </w:r>
      <w:r>
        <w:t>район</w:t>
      </w:r>
      <w:r w:rsidR="00E161D4">
        <w:t>а</w:t>
      </w:r>
      <w:r>
        <w:t xml:space="preserve"> в 2020 году</w:t>
      </w:r>
    </w:p>
    <w:p w14:paraId="2C1F6B8E" w14:textId="77777777" w:rsidR="00E161D4" w:rsidRDefault="00E161D4" w:rsidP="00E161D4">
      <w:pPr>
        <w:pStyle w:val="30"/>
        <w:shd w:val="clear" w:color="auto" w:fill="auto"/>
        <w:spacing w:before="0" w:after="0" w:line="240" w:lineRule="auto"/>
        <w:ind w:firstLine="840"/>
        <w:jc w:val="center"/>
      </w:pPr>
    </w:p>
    <w:p w14:paraId="7960BD59" w14:textId="468B6DC9" w:rsidR="007919AF" w:rsidRDefault="008779E4">
      <w:pPr>
        <w:pStyle w:val="20"/>
        <w:shd w:val="clear" w:color="auto" w:fill="auto"/>
        <w:spacing w:after="0" w:line="317" w:lineRule="exact"/>
        <w:ind w:firstLine="480"/>
        <w:jc w:val="both"/>
      </w:pPr>
      <w:r>
        <w:rPr>
          <w:rStyle w:val="21"/>
        </w:rPr>
        <w:t xml:space="preserve"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в целях выявления рисков нарушения антимонопольного законодательства, учета обстоятельств, связанных с ними, определения вероятности возникновения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администрацией </w:t>
      </w:r>
      <w:r w:rsidR="00E161D4">
        <w:rPr>
          <w:rStyle w:val="21"/>
        </w:rPr>
        <w:t>Сосновского муниципального района</w:t>
      </w:r>
      <w:r>
        <w:rPr>
          <w:rStyle w:val="21"/>
        </w:rPr>
        <w:t xml:space="preserve"> (далее — Администрация) утверждено и размещено на официальном сайте </w:t>
      </w:r>
      <w:r w:rsidR="00E161D4" w:rsidRPr="00E161D4">
        <w:t>http://www.chelsosna.ru</w:t>
      </w:r>
      <w:r w:rsidRPr="00103868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постановление от </w:t>
      </w:r>
      <w:r w:rsidR="00E161D4">
        <w:rPr>
          <w:rStyle w:val="21"/>
        </w:rPr>
        <w:t>17</w:t>
      </w:r>
      <w:r>
        <w:rPr>
          <w:rStyle w:val="21"/>
        </w:rPr>
        <w:t>.0</w:t>
      </w:r>
      <w:r w:rsidR="00E161D4">
        <w:rPr>
          <w:rStyle w:val="21"/>
        </w:rPr>
        <w:t>2</w:t>
      </w:r>
      <w:r>
        <w:rPr>
          <w:rStyle w:val="21"/>
        </w:rPr>
        <w:t>.20</w:t>
      </w:r>
      <w:r w:rsidR="00E161D4">
        <w:rPr>
          <w:rStyle w:val="21"/>
        </w:rPr>
        <w:t>20</w:t>
      </w:r>
      <w:r>
        <w:rPr>
          <w:rStyle w:val="21"/>
        </w:rPr>
        <w:t xml:space="preserve"> г</w:t>
      </w:r>
      <w:r w:rsidR="00E161D4">
        <w:rPr>
          <w:rStyle w:val="21"/>
        </w:rPr>
        <w:t>ода</w:t>
      </w:r>
      <w:r>
        <w:rPr>
          <w:rStyle w:val="21"/>
        </w:rPr>
        <w:t xml:space="preserve"> №</w:t>
      </w:r>
      <w:r w:rsidR="00E161D4">
        <w:rPr>
          <w:rStyle w:val="21"/>
        </w:rPr>
        <w:t>136</w:t>
      </w:r>
      <w:r>
        <w:rPr>
          <w:rStyle w:val="21"/>
        </w:rPr>
        <w:t xml:space="preserve"> «Об организации системы внутреннего обеспечения соответствия требованиям антимонопольного законодательства в </w:t>
      </w:r>
      <w:bookmarkStart w:id="0" w:name="_Hlk73433249"/>
      <w:r>
        <w:rPr>
          <w:rStyle w:val="21"/>
        </w:rPr>
        <w:t xml:space="preserve">администрации </w:t>
      </w:r>
      <w:r w:rsidR="00E161D4">
        <w:rPr>
          <w:rStyle w:val="21"/>
        </w:rPr>
        <w:t xml:space="preserve">Сосновского муниципального </w:t>
      </w:r>
      <w:r>
        <w:rPr>
          <w:rStyle w:val="21"/>
        </w:rPr>
        <w:t>район</w:t>
      </w:r>
      <w:r w:rsidR="00E161D4">
        <w:rPr>
          <w:rStyle w:val="21"/>
        </w:rPr>
        <w:t>а Челябинской области (антимонопольный комплаенс)</w:t>
      </w:r>
      <w:bookmarkEnd w:id="0"/>
      <w:r>
        <w:rPr>
          <w:rStyle w:val="21"/>
        </w:rPr>
        <w:t>».</w:t>
      </w:r>
    </w:p>
    <w:p w14:paraId="1B4C37E9" w14:textId="3B8EEF9F" w:rsidR="007919AF" w:rsidRDefault="008779E4" w:rsidP="00E7209D">
      <w:pPr>
        <w:pStyle w:val="20"/>
        <w:shd w:val="clear" w:color="auto" w:fill="auto"/>
        <w:spacing w:after="0" w:line="322" w:lineRule="exact"/>
        <w:ind w:firstLine="708"/>
        <w:jc w:val="both"/>
      </w:pPr>
      <w:r>
        <w:t xml:space="preserve">Функции по организации, функционированию и контролю за исполнением антимонопольного комплаенса в администрации распределены </w:t>
      </w:r>
      <w:r>
        <w:rPr>
          <w:rStyle w:val="21"/>
        </w:rPr>
        <w:t xml:space="preserve">между </w:t>
      </w:r>
      <w:r>
        <w:t xml:space="preserve">её отраслевыми подразделениями: </w:t>
      </w:r>
      <w:r w:rsidR="00E7209D">
        <w:t>отделом социально-экономического развития,  юридическим отделом</w:t>
      </w:r>
      <w:r>
        <w:t xml:space="preserve">, </w:t>
      </w:r>
      <w:r w:rsidR="00E7209D">
        <w:t>управлением муниципальной службы</w:t>
      </w:r>
      <w:r>
        <w:t>.</w:t>
      </w:r>
    </w:p>
    <w:p w14:paraId="5609B61E" w14:textId="184413EA" w:rsidR="007919AF" w:rsidRDefault="008779E4" w:rsidP="00E7209D">
      <w:pPr>
        <w:pStyle w:val="20"/>
        <w:shd w:val="clear" w:color="auto" w:fill="auto"/>
        <w:spacing w:after="0" w:line="322" w:lineRule="exact"/>
        <w:ind w:firstLine="708"/>
        <w:jc w:val="both"/>
      </w:pPr>
      <w:r>
        <w:t xml:space="preserve">На официальном сайте </w:t>
      </w:r>
      <w:r w:rsidR="00E7209D">
        <w:t>Сосновского муниципального района в разделе «Экономика»</w:t>
      </w:r>
      <w:r>
        <w:t xml:space="preserve"> создан </w:t>
      </w:r>
      <w:r w:rsidR="00E7209D">
        <w:t>под</w:t>
      </w:r>
      <w:r>
        <w:t>раздел «Антимонопольный комплаенс», в целях обеспечения открытости и доступности информации об антимонопольном комплаенсе.</w:t>
      </w:r>
    </w:p>
    <w:p w14:paraId="3A40F020" w14:textId="6441944F" w:rsidR="00E7209D" w:rsidRDefault="008779E4" w:rsidP="00E57718">
      <w:pPr>
        <w:pStyle w:val="20"/>
        <w:shd w:val="clear" w:color="auto" w:fill="auto"/>
        <w:spacing w:after="0" w:line="322" w:lineRule="exact"/>
        <w:ind w:firstLine="440"/>
        <w:jc w:val="both"/>
      </w:pPr>
      <w:r>
        <w:t>Согласно Положению об организаций системы внутреннего обеспечения соответствия требованиям антимонопольного законодательства в администрации муниципального образования С</w:t>
      </w:r>
      <w:r w:rsidR="00E57718">
        <w:t>основский муниципальный</w:t>
      </w:r>
      <w:r>
        <w:t xml:space="preserve"> район проводится: </w:t>
      </w:r>
    </w:p>
    <w:p w14:paraId="4D9C79E2" w14:textId="30707FDA" w:rsidR="007919AF" w:rsidRDefault="008779E4" w:rsidP="00E57718">
      <w:pPr>
        <w:pStyle w:val="20"/>
        <w:shd w:val="clear" w:color="auto" w:fill="auto"/>
        <w:spacing w:after="0" w:line="322" w:lineRule="exact"/>
        <w:ind w:firstLine="708"/>
        <w:jc w:val="both"/>
      </w:pPr>
      <w:r>
        <w:t>анализ выявленных нарушений антимонопольного законодательства в деятельности отдел</w:t>
      </w:r>
      <w:r w:rsidR="00E7209D">
        <w:t>а</w:t>
      </w:r>
      <w:r>
        <w:t xml:space="preserve"> (</w:t>
      </w:r>
      <w:r w:rsidR="00E7209D">
        <w:t>управления</w:t>
      </w:r>
      <w:r>
        <w:t>) (наличие предостережений, предупреждений, штрафов, жалоб, возбужденных дел);</w:t>
      </w:r>
    </w:p>
    <w:p w14:paraId="7F3E68BA" w14:textId="77777777" w:rsidR="00E7209D" w:rsidRDefault="008779E4" w:rsidP="00E7209D">
      <w:pPr>
        <w:pStyle w:val="20"/>
        <w:shd w:val="clear" w:color="auto" w:fill="auto"/>
        <w:spacing w:after="0" w:line="322" w:lineRule="exact"/>
        <w:ind w:firstLine="800"/>
        <w:jc w:val="left"/>
      </w:pPr>
      <w:r>
        <w:t xml:space="preserve">анализ нормативных правовых актов </w:t>
      </w:r>
      <w:r w:rsidR="00E7209D">
        <w:t>по направлениям работы</w:t>
      </w:r>
      <w:r w:rsidR="00E7209D" w:rsidRPr="00E7209D">
        <w:t xml:space="preserve"> </w:t>
      </w:r>
      <w:r w:rsidR="00E7209D">
        <w:t>отдела (управления)</w:t>
      </w:r>
      <w:r>
        <w:t xml:space="preserve">; </w:t>
      </w:r>
    </w:p>
    <w:p w14:paraId="6D148C72" w14:textId="77777777" w:rsidR="00E7209D" w:rsidRDefault="008779E4" w:rsidP="00E7209D">
      <w:pPr>
        <w:pStyle w:val="20"/>
        <w:shd w:val="clear" w:color="auto" w:fill="auto"/>
        <w:spacing w:after="0" w:line="322" w:lineRule="exact"/>
        <w:ind w:firstLine="800"/>
        <w:jc w:val="left"/>
      </w:pPr>
      <w:r>
        <w:t xml:space="preserve">анализ проектов нормативных правовых актов </w:t>
      </w:r>
      <w:r w:rsidR="00E7209D" w:rsidRPr="00E7209D">
        <w:t>по направлениям работы отдела (управления)</w:t>
      </w:r>
      <w:r>
        <w:t>;</w:t>
      </w:r>
    </w:p>
    <w:p w14:paraId="28E7AFAE" w14:textId="1879378C" w:rsidR="007919AF" w:rsidRDefault="008779E4" w:rsidP="00E7209D">
      <w:pPr>
        <w:pStyle w:val="20"/>
        <w:shd w:val="clear" w:color="auto" w:fill="auto"/>
        <w:spacing w:after="0" w:line="322" w:lineRule="exact"/>
        <w:ind w:firstLine="800"/>
        <w:jc w:val="both"/>
      </w:pPr>
      <w:r>
        <w:t>мониторинг и анализ практики применения антимонопольного законодательства;</w:t>
      </w:r>
    </w:p>
    <w:p w14:paraId="5B4B5DCE" w14:textId="59A98A58" w:rsidR="007919AF" w:rsidRDefault="008779E4">
      <w:pPr>
        <w:pStyle w:val="20"/>
        <w:shd w:val="clear" w:color="auto" w:fill="auto"/>
        <w:spacing w:after="0" w:line="317" w:lineRule="exact"/>
        <w:ind w:firstLine="800"/>
        <w:jc w:val="both"/>
        <w:rPr>
          <w:rStyle w:val="21"/>
        </w:rPr>
      </w:pPr>
      <w:r>
        <w:t xml:space="preserve">проведение систематической оценки эффективности разработанных и реализуемых мероприятий по снижению </w:t>
      </w:r>
      <w:r>
        <w:rPr>
          <w:rStyle w:val="21"/>
        </w:rPr>
        <w:t>рисков</w:t>
      </w:r>
      <w:r w:rsidR="00E7209D">
        <w:rPr>
          <w:rStyle w:val="21"/>
        </w:rPr>
        <w:t xml:space="preserve"> нарушения антимонопольного законодательства</w:t>
      </w:r>
      <w:r>
        <w:rPr>
          <w:rStyle w:val="21"/>
        </w:rPr>
        <w:t>.</w:t>
      </w:r>
    </w:p>
    <w:p w14:paraId="582D3EFD" w14:textId="42A3F379" w:rsidR="005F6351" w:rsidRDefault="005F6351">
      <w:pPr>
        <w:pStyle w:val="20"/>
        <w:shd w:val="clear" w:color="auto" w:fill="auto"/>
        <w:spacing w:after="0" w:line="317" w:lineRule="exact"/>
        <w:ind w:firstLine="800"/>
        <w:jc w:val="both"/>
      </w:pPr>
      <w:r>
        <w:rPr>
          <w:rStyle w:val="21"/>
        </w:rPr>
        <w:t>Структурными подразделениями самостоятельно осуществляется комплекс мероприятий, предусмотренный Положением об антимонопольном комплаенсе.</w:t>
      </w:r>
    </w:p>
    <w:p w14:paraId="755A9F7E" w14:textId="401B4CA0" w:rsidR="007919AF" w:rsidRDefault="008779E4">
      <w:pPr>
        <w:pStyle w:val="20"/>
        <w:shd w:val="clear" w:color="auto" w:fill="auto"/>
        <w:spacing w:after="0" w:line="317" w:lineRule="exact"/>
        <w:ind w:firstLine="800"/>
        <w:jc w:val="both"/>
      </w:pPr>
      <w:r>
        <w:t xml:space="preserve">По итогам проведенного </w:t>
      </w:r>
      <w:r>
        <w:rPr>
          <w:rStyle w:val="21"/>
        </w:rPr>
        <w:t xml:space="preserve">анализа нормативных правовых актов </w:t>
      </w:r>
      <w:r>
        <w:lastRenderedPageBreak/>
        <w:t xml:space="preserve">целесообразности внесения изменений </w:t>
      </w:r>
      <w:r>
        <w:rPr>
          <w:rStyle w:val="21"/>
        </w:rPr>
        <w:t xml:space="preserve">в действующие нормативные правовые </w:t>
      </w:r>
      <w:r>
        <w:t>акты в 2020 г</w:t>
      </w:r>
      <w:r w:rsidR="00E7209D">
        <w:t>оду</w:t>
      </w:r>
      <w:r>
        <w:t xml:space="preserve"> не выявлено. В ходе </w:t>
      </w:r>
      <w:r>
        <w:rPr>
          <w:rStyle w:val="21"/>
        </w:rPr>
        <w:t>проверки проектов нормативных правовых актов несоответствие антимонопольному законодательству, так же не выявлено.</w:t>
      </w:r>
    </w:p>
    <w:p w14:paraId="30A5A80D" w14:textId="38A3FD4C" w:rsidR="007919AF" w:rsidRDefault="00774676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rStyle w:val="21"/>
        </w:rPr>
        <w:t xml:space="preserve">Управлением муниципальной службы </w:t>
      </w:r>
      <w:r w:rsidR="008779E4">
        <w:rPr>
          <w:rStyle w:val="21"/>
        </w:rPr>
        <w:t xml:space="preserve">проводится ознакомление граждан при </w:t>
      </w:r>
      <w:r>
        <w:rPr>
          <w:rStyle w:val="21"/>
        </w:rPr>
        <w:t>назначении</w:t>
      </w:r>
      <w:r w:rsidR="008779E4">
        <w:rPr>
          <w:rStyle w:val="21"/>
        </w:rPr>
        <w:t xml:space="preserve"> на муниципальную службу в Администрацию с постановлением администрации муниципального образования С</w:t>
      </w:r>
      <w:r w:rsidR="00B6180A">
        <w:rPr>
          <w:rStyle w:val="21"/>
        </w:rPr>
        <w:t xml:space="preserve">основский муниципальный </w:t>
      </w:r>
      <w:r w:rsidR="008779E4">
        <w:rPr>
          <w:rStyle w:val="21"/>
        </w:rPr>
        <w:t xml:space="preserve">район от </w:t>
      </w:r>
      <w:r>
        <w:rPr>
          <w:rStyle w:val="21"/>
        </w:rPr>
        <w:t>17.02.2020</w:t>
      </w:r>
      <w:r w:rsidR="008779E4">
        <w:rPr>
          <w:rStyle w:val="21"/>
        </w:rPr>
        <w:t xml:space="preserve"> года </w:t>
      </w:r>
      <w:r w:rsidR="008779E4">
        <w:rPr>
          <w:rStyle w:val="22"/>
        </w:rPr>
        <w:t xml:space="preserve">№ </w:t>
      </w:r>
      <w:r>
        <w:rPr>
          <w:rStyle w:val="22"/>
        </w:rPr>
        <w:t>136</w:t>
      </w:r>
      <w:r w:rsidR="008779E4">
        <w:rPr>
          <w:rStyle w:val="22"/>
        </w:rPr>
        <w:t xml:space="preserve"> «Об </w:t>
      </w:r>
      <w:r w:rsidR="008779E4">
        <w:rPr>
          <w:rStyle w:val="21"/>
        </w:rPr>
        <w:t xml:space="preserve">организации системы внутреннего обеспечения </w:t>
      </w:r>
      <w:r w:rsidR="008779E4">
        <w:rPr>
          <w:rStyle w:val="22"/>
        </w:rPr>
        <w:t xml:space="preserve">соответствия требованиям </w:t>
      </w:r>
      <w:r w:rsidR="008779E4">
        <w:rPr>
          <w:rStyle w:val="21"/>
        </w:rPr>
        <w:t xml:space="preserve">антимонопольного законодательства в </w:t>
      </w:r>
      <w:r>
        <w:rPr>
          <w:rStyle w:val="21"/>
        </w:rPr>
        <w:t>администрации Сосновского муниципального района Челябинской области (антимонопольный комплаенс)</w:t>
      </w:r>
      <w:r w:rsidR="008779E4">
        <w:rPr>
          <w:rStyle w:val="21"/>
        </w:rPr>
        <w:t>».</w:t>
      </w:r>
    </w:p>
    <w:p w14:paraId="5E2CB730" w14:textId="4853A22D" w:rsidR="007919AF" w:rsidRDefault="008779E4">
      <w:pPr>
        <w:pStyle w:val="20"/>
        <w:shd w:val="clear" w:color="auto" w:fill="auto"/>
        <w:spacing w:after="0" w:line="322" w:lineRule="exact"/>
        <w:ind w:firstLine="780"/>
        <w:jc w:val="both"/>
        <w:rPr>
          <w:rStyle w:val="21"/>
        </w:rPr>
      </w:pPr>
      <w:r>
        <w:rPr>
          <w:rStyle w:val="21"/>
        </w:rPr>
        <w:t>Одновременно с этим, в целях предупреждения нарушений антимонопольного законодательства и в соответствии со статьей 17 Федерального закона от 26 июля 2006 г</w:t>
      </w:r>
      <w:r w:rsidR="00853366">
        <w:rPr>
          <w:rStyle w:val="21"/>
        </w:rPr>
        <w:t>ода</w:t>
      </w:r>
      <w:r>
        <w:rPr>
          <w:rStyle w:val="21"/>
        </w:rPr>
        <w:t xml:space="preserve"> № 135-ФЗ «О защите конкуренции» при проведении торгов, запросе котировок цен не производятся действия, которые приводят или могут привести к недопущению, ограничению или устранению конкуренции.</w:t>
      </w:r>
    </w:p>
    <w:p w14:paraId="4B817ACE" w14:textId="3F34520E" w:rsidR="008529F8" w:rsidRPr="005F6351" w:rsidRDefault="008529F8">
      <w:pPr>
        <w:pStyle w:val="20"/>
        <w:shd w:val="clear" w:color="auto" w:fill="auto"/>
        <w:spacing w:after="0" w:line="322" w:lineRule="exact"/>
        <w:ind w:firstLine="780"/>
        <w:jc w:val="both"/>
      </w:pPr>
      <w:r w:rsidRPr="005F6351">
        <w:rPr>
          <w:rStyle w:val="21"/>
        </w:rPr>
        <w:t xml:space="preserve">Однако, анализ нарушений </w:t>
      </w:r>
      <w:r w:rsidR="00990D1E" w:rsidRPr="005F6351">
        <w:rPr>
          <w:rStyle w:val="21"/>
        </w:rPr>
        <w:t>антимонопольного з</w:t>
      </w:r>
      <w:r w:rsidRPr="005F6351">
        <w:rPr>
          <w:rStyle w:val="21"/>
        </w:rPr>
        <w:t xml:space="preserve">аконодательства за 2020 год показал, что </w:t>
      </w:r>
      <w:r w:rsidR="00990D1E" w:rsidRPr="005F6351">
        <w:rPr>
          <w:rStyle w:val="21"/>
        </w:rPr>
        <w:t>имеются нарушения Законодательства о контрактной системе (Федеральный закон от 05.04.2013 № 44-ФЗ «О контрактной системе в сфере закупок товаров, работ, услуг для обеспечения государственных и муниципальных нужд»). В</w:t>
      </w:r>
      <w:r w:rsidRPr="005F6351">
        <w:rPr>
          <w:rStyle w:val="21"/>
        </w:rPr>
        <w:t xml:space="preserve"> результате рассмотрения Управлением Федеральной антимонопольной службы по Челябинской области (далее – УФАС) 1</w:t>
      </w:r>
      <w:r w:rsidR="00990D1E" w:rsidRPr="005F6351">
        <w:rPr>
          <w:rStyle w:val="21"/>
        </w:rPr>
        <w:t>1</w:t>
      </w:r>
      <w:r w:rsidRPr="005F6351">
        <w:rPr>
          <w:rStyle w:val="21"/>
        </w:rPr>
        <w:t xml:space="preserve"> жалоб</w:t>
      </w:r>
      <w:r w:rsidR="00990D1E" w:rsidRPr="005F6351">
        <w:rPr>
          <w:rStyle w:val="21"/>
        </w:rPr>
        <w:t xml:space="preserve"> подрядных организаций, имеющих право принимать участие в закупках администрации Сосновского муниципального района, предметом которых</w:t>
      </w:r>
      <w:r w:rsidR="00774BFA" w:rsidRPr="005F6351">
        <w:rPr>
          <w:rStyle w:val="21"/>
        </w:rPr>
        <w:t xml:space="preserve"> являе</w:t>
      </w:r>
      <w:r w:rsidR="00990D1E" w:rsidRPr="005F6351">
        <w:rPr>
          <w:rStyle w:val="21"/>
        </w:rPr>
        <w:t>тся</w:t>
      </w:r>
      <w:r w:rsidR="00774BFA" w:rsidRPr="005F6351">
        <w:rPr>
          <w:rStyle w:val="21"/>
        </w:rPr>
        <w:t xml:space="preserve"> выполнение работ по строительству и ремонту объектов, пять жалоб были признаны обоснованными, в действиях заказчика УФАС призна</w:t>
      </w:r>
      <w:r w:rsidR="00A06A01" w:rsidRPr="005F6351">
        <w:rPr>
          <w:rStyle w:val="21"/>
        </w:rPr>
        <w:t>ны</w:t>
      </w:r>
      <w:r w:rsidR="00774BFA" w:rsidRPr="005F6351">
        <w:rPr>
          <w:rStyle w:val="21"/>
        </w:rPr>
        <w:t xml:space="preserve"> нарушения норм Законодательства о контрактной системе. По результатам рассмотрения данных жалоб, были выданы предписания об устранении нарушений Законодательства о контрактной системе, которы</w:t>
      </w:r>
      <w:r w:rsidR="00A06A01" w:rsidRPr="005F6351">
        <w:rPr>
          <w:rStyle w:val="21"/>
        </w:rPr>
        <w:t>е</w:t>
      </w:r>
      <w:r w:rsidR="00774BFA" w:rsidRPr="005F6351">
        <w:rPr>
          <w:rStyle w:val="21"/>
        </w:rPr>
        <w:t xml:space="preserve"> исполнены администрацией Сосновского муниципального района своевременно и в полном объеме.</w:t>
      </w:r>
    </w:p>
    <w:p w14:paraId="747C9CAD" w14:textId="77777777" w:rsidR="007919AF" w:rsidRDefault="008779E4">
      <w:pPr>
        <w:pStyle w:val="20"/>
        <w:shd w:val="clear" w:color="auto" w:fill="auto"/>
        <w:spacing w:after="0" w:line="336" w:lineRule="exact"/>
        <w:ind w:firstLine="780"/>
        <w:jc w:val="both"/>
      </w:pPr>
      <w:r w:rsidRPr="005F6351">
        <w:rPr>
          <w:rStyle w:val="21"/>
        </w:rPr>
        <w:t>Основными принципами</w:t>
      </w:r>
      <w:r>
        <w:rPr>
          <w:rStyle w:val="21"/>
        </w:rPr>
        <w:t xml:space="preserve"> функционирования контрактной </w:t>
      </w:r>
      <w:r>
        <w:rPr>
          <w:rStyle w:val="22"/>
        </w:rPr>
        <w:t xml:space="preserve">службы </w:t>
      </w:r>
      <w:r>
        <w:rPr>
          <w:rStyle w:val="21"/>
        </w:rPr>
        <w:t>Администрации при управлении по закупкам для муниципальных нужд являются:</w:t>
      </w:r>
    </w:p>
    <w:p w14:paraId="6B939CCB" w14:textId="77777777" w:rsidR="007919AF" w:rsidRDefault="008779E4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22" w:lineRule="exact"/>
        <w:ind w:firstLine="780"/>
        <w:jc w:val="both"/>
      </w:pPr>
      <w:r>
        <w:rPr>
          <w:rStyle w:val="21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14:paraId="18F31301" w14:textId="6E5126D3" w:rsidR="007919AF" w:rsidRDefault="008779E4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322" w:lineRule="exact"/>
        <w:ind w:firstLine="780"/>
        <w:jc w:val="both"/>
      </w:pPr>
      <w:r>
        <w:rPr>
          <w:rStyle w:val="21"/>
        </w:rPr>
        <w:t xml:space="preserve">свободный доступ к информации </w:t>
      </w:r>
      <w:r w:rsidR="00774676">
        <w:rPr>
          <w:rStyle w:val="21"/>
          <w:lang w:eastAsia="en-US" w:bidi="en-US"/>
        </w:rPr>
        <w:t>о</w:t>
      </w:r>
      <w:r w:rsidRPr="00103868">
        <w:rPr>
          <w:rStyle w:val="21"/>
          <w:lang w:eastAsia="en-US" w:bidi="en-US"/>
        </w:rPr>
        <w:t xml:space="preserve"> </w:t>
      </w:r>
      <w:r>
        <w:rPr>
          <w:rStyle w:val="21"/>
        </w:rPr>
        <w:t>совершаемых контрактной службой действиях, направленных на обеспечение нужд заказчика, в том ч</w:t>
      </w:r>
      <w:r w:rsidR="00774676">
        <w:rPr>
          <w:rStyle w:val="21"/>
        </w:rPr>
        <w:t>и</w:t>
      </w:r>
      <w:r>
        <w:rPr>
          <w:rStyle w:val="21"/>
        </w:rPr>
        <w:t>сле способах осуществления закупок и их результатах;</w:t>
      </w:r>
    </w:p>
    <w:p w14:paraId="402CDF8F" w14:textId="77777777" w:rsidR="007919AF" w:rsidRDefault="008779E4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22" w:lineRule="exact"/>
        <w:ind w:firstLine="780"/>
        <w:jc w:val="both"/>
      </w:pPr>
      <w:r>
        <w:rPr>
          <w:rStyle w:val="21"/>
        </w:rPr>
        <w:t>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14:paraId="148954C2" w14:textId="77777777" w:rsidR="007919AF" w:rsidRDefault="008779E4">
      <w:pPr>
        <w:pStyle w:val="20"/>
        <w:shd w:val="clear" w:color="auto" w:fill="auto"/>
        <w:spacing w:after="0" w:line="350" w:lineRule="exact"/>
        <w:ind w:firstLine="780"/>
        <w:jc w:val="both"/>
      </w:pPr>
      <w:r>
        <w:rPr>
          <w:rStyle w:val="21"/>
        </w:rPr>
        <w:t>- достижение заказчиком заданных результатов обеспечения муниципальных нужд.</w:t>
      </w:r>
    </w:p>
    <w:p w14:paraId="738547DA" w14:textId="050205BB" w:rsidR="007919AF" w:rsidRDefault="008779E4" w:rsidP="00774676">
      <w:pPr>
        <w:pStyle w:val="20"/>
        <w:shd w:val="clear" w:color="auto" w:fill="auto"/>
        <w:spacing w:after="0" w:line="240" w:lineRule="auto"/>
        <w:ind w:firstLine="780"/>
        <w:jc w:val="both"/>
      </w:pPr>
      <w:r>
        <w:rPr>
          <w:rStyle w:val="21"/>
        </w:rPr>
        <w:lastRenderedPageBreak/>
        <w:t xml:space="preserve">В целях снижения рисков нарушения антимонопольного законодательства разработаны и размещены на официальном сайте </w:t>
      </w:r>
      <w:r w:rsidR="00774676" w:rsidRPr="00774676">
        <w:t>администрации Сосновского муниципального района</w:t>
      </w:r>
      <w:r>
        <w:rPr>
          <w:rStyle w:val="21"/>
        </w:rPr>
        <w:t xml:space="preserve">: карта рисков нарушения антимонопольного законодательства и план мероприятий («дорожная карта») по снижению рисков нарушения антимонопольного законодательства в </w:t>
      </w:r>
      <w:r w:rsidR="00774676" w:rsidRPr="00774676">
        <w:t xml:space="preserve">администрации Сосновского муниципального района </w:t>
      </w:r>
      <w:r>
        <w:rPr>
          <w:rStyle w:val="21"/>
        </w:rPr>
        <w:t>на 2021 год</w:t>
      </w:r>
      <w:r w:rsidR="00774676">
        <w:rPr>
          <w:rStyle w:val="21"/>
        </w:rPr>
        <w:t xml:space="preserve"> (распоряжение администрации Сосновского муниципального района от 30.12.2020 года № 1224</w:t>
      </w:r>
      <w:r>
        <w:rPr>
          <w:rStyle w:val="21"/>
        </w:rPr>
        <w:t>.</w:t>
      </w:r>
    </w:p>
    <w:p w14:paraId="526D2CAA" w14:textId="77777777" w:rsidR="007919AF" w:rsidRDefault="008779E4" w:rsidP="00774676">
      <w:pPr>
        <w:pStyle w:val="20"/>
        <w:shd w:val="clear" w:color="auto" w:fill="auto"/>
        <w:spacing w:after="0" w:line="240" w:lineRule="auto"/>
        <w:ind w:firstLine="780"/>
        <w:jc w:val="both"/>
      </w:pPr>
      <w:r>
        <w:rPr>
          <w:rStyle w:val="21"/>
        </w:rPr>
        <w:t>Ключевыми показателями эффективности антимонопольного комплаенса в целом являются:</w:t>
      </w:r>
    </w:p>
    <w:p w14:paraId="4157476E" w14:textId="59FD9604" w:rsidR="007919AF" w:rsidRDefault="008779E4" w:rsidP="00774676">
      <w:pPr>
        <w:pStyle w:val="20"/>
        <w:shd w:val="clear" w:color="auto" w:fill="auto"/>
        <w:tabs>
          <w:tab w:val="left" w:pos="1493"/>
        </w:tabs>
        <w:spacing w:after="0" w:line="240" w:lineRule="auto"/>
        <w:ind w:firstLine="780"/>
        <w:jc w:val="both"/>
      </w:pPr>
      <w:r>
        <w:rPr>
          <w:rStyle w:val="21"/>
        </w:rPr>
        <w:t>а)</w:t>
      </w:r>
      <w:r>
        <w:tab/>
      </w:r>
      <w:r>
        <w:rPr>
          <w:rStyle w:val="21"/>
        </w:rPr>
        <w:t>снижение количества нарушений антимонопольного законодательства по сравнению с 201</w:t>
      </w:r>
      <w:r w:rsidR="00B6180A">
        <w:rPr>
          <w:rStyle w:val="21"/>
        </w:rPr>
        <w:t>9</w:t>
      </w:r>
      <w:r>
        <w:rPr>
          <w:rStyle w:val="21"/>
        </w:rPr>
        <w:t xml:space="preserve"> годом;</w:t>
      </w:r>
    </w:p>
    <w:p w14:paraId="4C5C205A" w14:textId="77777777" w:rsidR="007919AF" w:rsidRDefault="008779E4" w:rsidP="00774676">
      <w:pPr>
        <w:pStyle w:val="20"/>
        <w:shd w:val="clear" w:color="auto" w:fill="auto"/>
        <w:tabs>
          <w:tab w:val="left" w:pos="1085"/>
        </w:tabs>
        <w:spacing w:after="0" w:line="240" w:lineRule="auto"/>
        <w:ind w:firstLine="800"/>
        <w:jc w:val="both"/>
      </w:pPr>
      <w:r>
        <w:rPr>
          <w:rStyle w:val="21"/>
        </w:rPr>
        <w:t>б)</w:t>
      </w:r>
      <w:r>
        <w:rPr>
          <w:rStyle w:val="21"/>
        </w:rPr>
        <w:tab/>
        <w:t>доля проектов нормативных правовых актов, в которых выявлены риски нарушения антимонопольного законодательства;</w:t>
      </w:r>
    </w:p>
    <w:p w14:paraId="0551EAED" w14:textId="2DF97879" w:rsidR="007919AF" w:rsidRDefault="008779E4" w:rsidP="00774676">
      <w:pPr>
        <w:pStyle w:val="20"/>
        <w:shd w:val="clear" w:color="auto" w:fill="auto"/>
        <w:tabs>
          <w:tab w:val="left" w:pos="1085"/>
        </w:tabs>
        <w:spacing w:after="0" w:line="240" w:lineRule="auto"/>
        <w:ind w:firstLine="800"/>
        <w:jc w:val="both"/>
        <w:rPr>
          <w:rStyle w:val="21"/>
        </w:rPr>
      </w:pPr>
      <w:r>
        <w:rPr>
          <w:rStyle w:val="21"/>
        </w:rPr>
        <w:t>в)</w:t>
      </w:r>
      <w:r>
        <w:rPr>
          <w:rStyle w:val="21"/>
        </w:rPr>
        <w:tab/>
        <w:t>доля нормативных правовых актов, в которых выявлены риски нарушения антимонопольного законодательства.</w:t>
      </w:r>
    </w:p>
    <w:p w14:paraId="7E0A9E28" w14:textId="2C9228BB" w:rsidR="005F6351" w:rsidRPr="005F6351" w:rsidRDefault="000E5112" w:rsidP="005F63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5F6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Во исполнение </w:t>
      </w:r>
      <w:r w:rsidRPr="005F635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bidi="ar-SA"/>
        </w:rPr>
        <w:t>постановления администрации Сосновского муниципального № 136 от 17.02.2020 года «Об утверждении Положения «О</w:t>
      </w:r>
      <w:r w:rsidRPr="005F63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 организации в администрации Сосновского муниципального района системы внутреннего обеспечения соответствия требованиям антимонопольного законодательства (антимонопольный комплаенс)</w:t>
      </w:r>
      <w:r w:rsidRPr="005F635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bidi="ar-SA"/>
        </w:rPr>
        <w:t xml:space="preserve">», а также в целях снижения рисков нарушения Законодательства о контрактной системе </w:t>
      </w:r>
      <w:r w:rsidR="008F4CB3" w:rsidRPr="005F635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bidi="ar-SA"/>
        </w:rPr>
        <w:t xml:space="preserve">ежегодно сотрудники администрации повышают свою квалификацию на специальных курсах. Так </w:t>
      </w:r>
      <w:r w:rsidRPr="005F635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bidi="ar-SA"/>
        </w:rPr>
        <w:t>за период 2020 года ряд сотрудников администрации Сосновского муниципального района (7 человек) обучились на курсах повышения квалификации по программе «Управление государственными и муниципальными закупками» (120 часов)</w:t>
      </w:r>
      <w:r w:rsidR="00CF329E" w:rsidRPr="005F635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bidi="ar-SA"/>
        </w:rPr>
        <w:t>.</w:t>
      </w:r>
      <w:r w:rsidR="008F4CB3" w:rsidRPr="005F635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bidi="ar-SA"/>
        </w:rPr>
        <w:t xml:space="preserve"> Кроме того, члены контрактной службы администрации, сотрудники отдела муниципальных закупок на регулярной основе принимают участие в бесплатных обучающих вебинарах, проводимых электронными площадками, о нововведениях Законодательства о контрактной системе и об актуальных вопросах закупочной деятельности. </w:t>
      </w:r>
      <w:r w:rsidR="005F6351" w:rsidRPr="005F635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6 муниципальных служащих приняли участие в семинаре, проводимом Министерством экономического развития Челябинской области и Советом муниципальных образований Челябинской области, по вопросам содействия развитию конкуренции</w:t>
      </w:r>
      <w:r w:rsidR="00DF62A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(4 мероприятия)</w:t>
      </w:r>
      <w:r w:rsidR="005F6351" w:rsidRPr="005F635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.</w:t>
      </w:r>
    </w:p>
    <w:p w14:paraId="4075FEB2" w14:textId="78627225" w:rsidR="00083349" w:rsidRPr="000E5112" w:rsidRDefault="005F6351" w:rsidP="005F635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F635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На основании изложенного, запланированные мероприятия по снижению комплаенс-рисков, такие как организация антимонопольного комплаенса и организация внутреннего контроля соблюдения антимонопольного законодательства администрацией Сосновского муниципального района, исполнены</w:t>
      </w:r>
    </w:p>
    <w:p w14:paraId="79F63A89" w14:textId="7630A0F0" w:rsidR="00083349" w:rsidRDefault="00083349" w:rsidP="007746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29B0B1A" w14:textId="77777777" w:rsidR="00083349" w:rsidRDefault="00083349" w:rsidP="0008334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sectPr w:rsidR="00083349" w:rsidSect="00853366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14:paraId="0B101756" w14:textId="0204F1EC" w:rsidR="00103868" w:rsidRPr="00103868" w:rsidRDefault="00103868" w:rsidP="007746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3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Ключевые показатели</w:t>
      </w:r>
    </w:p>
    <w:p w14:paraId="035C07C0" w14:textId="77777777" w:rsidR="00103868" w:rsidRPr="00103868" w:rsidRDefault="00103868" w:rsidP="001038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3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эффективности функционирования</w:t>
      </w:r>
    </w:p>
    <w:p w14:paraId="7CA20B7E" w14:textId="77777777" w:rsidR="00103868" w:rsidRPr="00103868" w:rsidRDefault="00103868" w:rsidP="001038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3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антимонопольного комплаенса в Сосновском муниципальном районе</w:t>
      </w:r>
    </w:p>
    <w:p w14:paraId="6F9FCA32" w14:textId="77777777" w:rsidR="00103868" w:rsidRPr="00103868" w:rsidRDefault="00103868" w:rsidP="001038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3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критерии их оценки</w:t>
      </w:r>
    </w:p>
    <w:p w14:paraId="601CCFE1" w14:textId="77777777" w:rsidR="00103868" w:rsidRPr="00103868" w:rsidRDefault="00103868" w:rsidP="001038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8271"/>
        <w:gridCol w:w="1701"/>
        <w:gridCol w:w="1843"/>
        <w:gridCol w:w="1878"/>
      </w:tblGrid>
      <w:tr w:rsidR="00103868" w:rsidRPr="00103868" w14:paraId="0058725B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E459" w14:textId="1C066291" w:rsidR="00103868" w:rsidRPr="00103868" w:rsidRDefault="00774676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 w:rsidR="00103868"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103868"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пп</w:t>
            </w:r>
            <w:proofErr w:type="spellEnd"/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FC9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Ключевой показатель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AB8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Критерии оценки в баллах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8878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Факт (единица)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0BF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в баллах</w:t>
            </w:r>
          </w:p>
        </w:tc>
      </w:tr>
      <w:tr w:rsidR="00103868" w:rsidRPr="00103868" w14:paraId="06033817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BC30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60F1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EE2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C1C3" w14:textId="3F91D840" w:rsidR="00103868" w:rsidRPr="00103868" w:rsidRDefault="008F4CB3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D06" w14:textId="78295A64" w:rsidR="00103868" w:rsidRPr="00103868" w:rsidRDefault="008F4CB3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</w:tr>
      <w:tr w:rsidR="00103868" w:rsidRPr="00103868" w14:paraId="30C096D4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3B7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1783" w14:textId="3874333F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комплаенсом,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C2E0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CD64" w14:textId="657DA9BC" w:rsidR="00103868" w:rsidRPr="00103868" w:rsidRDefault="008F4CB3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9C7" w14:textId="1D3D6487" w:rsidR="00103868" w:rsidRPr="00103868" w:rsidRDefault="008F4CB3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103868" w:rsidRPr="00103868" w14:paraId="6D62C02C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0D31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0A42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Выполнение плана мероприятий "дорожной карты" по снижению рисков нарушения антимонопольного законодательства - отсутствуют необоснованные отклонения от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70AC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42B" w14:textId="77777777" w:rsidR="005F6351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4EF6980" w14:textId="67D0A464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2FB1" w14:textId="77777777" w:rsid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2FAF2672" w14:textId="20B54CDA" w:rsidR="005F6351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</w:tr>
      <w:tr w:rsidR="00103868" w:rsidRPr="00103868" w14:paraId="61E0BA55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533F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43B8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в карте рисков: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CDA7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3C82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33F2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03868" w:rsidRPr="00103868" w14:paraId="1C3D1BBB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C8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85E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рисков высокого уровня;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75C4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188" w14:textId="5746412B" w:rsidR="00103868" w:rsidRPr="005F6351" w:rsidRDefault="008F4CB3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3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CBC" w14:textId="3D3EFC51" w:rsidR="00103868" w:rsidRPr="005F6351" w:rsidRDefault="008F4CB3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3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103868" w:rsidRPr="00103868" w14:paraId="58A80B87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9D5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935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рисков существенного уровня;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0850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173" w14:textId="46CDD8A8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132" w14:textId="3A6ABBC8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03868" w:rsidRPr="00103868" w14:paraId="004540D5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502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B4D5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рисков незначительного уровня;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37AF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20F" w14:textId="61FD8FCD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16BE" w14:textId="2BB2BD27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103868" w:rsidRPr="00103868" w14:paraId="3C4C53FC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BA1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AEC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низкого уровня;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AFC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FC32" w14:textId="5782A574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0486" w14:textId="030F3E50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  <w:tr w:rsidR="00103868" w:rsidRPr="00103868" w14:paraId="04B41946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314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D983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отсутствие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48DD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0AB2" w14:textId="4A124841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249" w14:textId="08390F54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</w:tr>
      <w:tr w:rsidR="00103868" w:rsidRPr="00103868" w14:paraId="0AC23E86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423D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CD4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Отсутствие обоснованных замечаний, собранных при проведении анализа проектов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7364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7F31" w14:textId="100DAC10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006" w14:textId="26138ED0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103868" w:rsidRPr="00103868" w14:paraId="2DC955A5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5413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3BFC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Отсутствие обоснованных замечаний, собранных при проведении анализа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1FA5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C267" w14:textId="778E8B2B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B82" w14:textId="4781CD30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</w:tbl>
    <w:p w14:paraId="017C539F" w14:textId="3FF3E7CA" w:rsidR="007919AF" w:rsidRDefault="007919AF" w:rsidP="00103868">
      <w:pPr>
        <w:pStyle w:val="20"/>
        <w:shd w:val="clear" w:color="auto" w:fill="auto"/>
        <w:spacing w:after="244" w:line="346" w:lineRule="exact"/>
      </w:pPr>
    </w:p>
    <w:sectPr w:rsidR="007919AF" w:rsidSect="00853366">
      <w:pgSz w:w="16840" w:h="11900" w:orient="landscape"/>
      <w:pgMar w:top="851" w:right="1134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E289" w14:textId="77777777" w:rsidR="0012542B" w:rsidRDefault="0012542B">
      <w:r>
        <w:separator/>
      </w:r>
    </w:p>
  </w:endnote>
  <w:endnote w:type="continuationSeparator" w:id="0">
    <w:p w14:paraId="092EE685" w14:textId="77777777" w:rsidR="0012542B" w:rsidRDefault="0012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E4FE" w14:textId="77777777" w:rsidR="0012542B" w:rsidRDefault="0012542B"/>
  </w:footnote>
  <w:footnote w:type="continuationSeparator" w:id="0">
    <w:p w14:paraId="1E7AD4FF" w14:textId="77777777" w:rsidR="0012542B" w:rsidRDefault="001254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21A6"/>
    <w:multiLevelType w:val="multilevel"/>
    <w:tmpl w:val="32ECD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8C20B8"/>
    <w:multiLevelType w:val="multilevel"/>
    <w:tmpl w:val="B6CA0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AF"/>
    <w:rsid w:val="00083349"/>
    <w:rsid w:val="000E5112"/>
    <w:rsid w:val="00103868"/>
    <w:rsid w:val="0012542B"/>
    <w:rsid w:val="002A5AA9"/>
    <w:rsid w:val="005F6351"/>
    <w:rsid w:val="00607EA4"/>
    <w:rsid w:val="007371DF"/>
    <w:rsid w:val="00774676"/>
    <w:rsid w:val="00774BFA"/>
    <w:rsid w:val="007919AF"/>
    <w:rsid w:val="007D2196"/>
    <w:rsid w:val="008529F8"/>
    <w:rsid w:val="00853366"/>
    <w:rsid w:val="008779E4"/>
    <w:rsid w:val="008F4CB3"/>
    <w:rsid w:val="00990D1E"/>
    <w:rsid w:val="00A06A01"/>
    <w:rsid w:val="00A9697C"/>
    <w:rsid w:val="00B6180A"/>
    <w:rsid w:val="00C137F1"/>
    <w:rsid w:val="00CD1322"/>
    <w:rsid w:val="00CF329E"/>
    <w:rsid w:val="00D11AA7"/>
    <w:rsid w:val="00DF62A4"/>
    <w:rsid w:val="00E161D4"/>
    <w:rsid w:val="00E57718"/>
    <w:rsid w:val="00E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A780"/>
  <w15:docId w15:val="{9F401954-5592-4BCC-AAE1-9C1FC1D9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Calibri17pt0pt">
    <w:name w:val="Заголовок №1 + Calibri;17 pt;Полужирный;Интервал 0 pt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TimesNewRoman12pt">
    <w:name w:val="Основной текст (5) + Times New Roman;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5pt">
    <w:name w:val="Основной текст (5) + 9;5 pt;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1pt">
    <w:name w:val="Основной текст (6) + 11 pt;Не курсив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TimesNewRoman4pt">
    <w:name w:val="Основной текст (6) + Times New Roman;4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12pt0">
    <w:name w:val="Основной текст (5) + Times New Roman;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nstantia" w:eastAsia="Constantia" w:hAnsi="Constantia" w:cs="Constantia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3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83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480" w:line="312" w:lineRule="exact"/>
      <w:ind w:firstLine="7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ind w:firstLine="800"/>
      <w:jc w:val="both"/>
    </w:pPr>
    <w:rPr>
      <w:rFonts w:ascii="Times New Roman" w:eastAsia="Times New Roman" w:hAnsi="Times New Roman" w:cs="Times New Roman"/>
      <w:i/>
      <w:iCs/>
      <w:sz w:val="11"/>
      <w:szCs w:val="11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77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1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Ольга Викторовна Осипова</cp:lastModifiedBy>
  <cp:revision>3</cp:revision>
  <cp:lastPrinted>2021-06-03T04:56:00Z</cp:lastPrinted>
  <dcterms:created xsi:type="dcterms:W3CDTF">2021-06-02T11:16:00Z</dcterms:created>
  <dcterms:modified xsi:type="dcterms:W3CDTF">2021-06-03T04:57:00Z</dcterms:modified>
</cp:coreProperties>
</file>