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ind w:right="4597" w:hanging="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Постановления администрации Сосновского муниципального района Челябинской области</w:t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5495"/>
      </w:tblGrid>
      <w:tr>
        <w:trPr/>
        <w:tc>
          <w:tcPr>
            <w:tcW w:w="5495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Сосновского муниципального района от 21.12.2020 года № 2023.</w:t>
            </w:r>
          </w:p>
        </w:tc>
      </w:tr>
    </w:tbl>
    <w:p>
      <w:pPr>
        <w:pStyle w:val="Normal"/>
        <w:ind w:left="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 1243 администрация Сосновского муниципального района</w:t>
      </w:r>
    </w:p>
    <w:p>
      <w:pPr>
        <w:pStyle w:val="NormalWeb"/>
        <w:shd w:val="clear" w:color="auto" w:fill="FFFFFF"/>
        <w:spacing w:beforeAutospacing="0" w:before="0" w:afterAutospacing="0" w:after="0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Сосновского муниципального района Челябинской области от 21.12.2020 года № 2023 «Об утверждении муниципальной районной программы «Повышение безопасности дорожного движения в 2021 – 2022 годах» в Сосновском муниципальном районе», следующие изменения: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«Паспорт муниципальной программы» в строке 8, во втором столбце слова «в 2022 году — 4 603 тыс.руб.» заменить словами «в 2022 году — 3 823,306 тыс.руб.»;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«Мероприятия Программы на 2021 – 2022 г.г.»: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10, в столбце 3 после слов «2021 г.» дополнить словами «2022 г.», в столбце 6 добавить слова: «2 520 306»;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11, в столбце 6 слова «3 300 000» заменить словами «0,0»;</w:t>
      </w:r>
    </w:p>
    <w:p>
      <w:pPr>
        <w:pStyle w:val="NormalWeb"/>
        <w:shd w:val="clear" w:color="auto" w:fill="FFFFFF"/>
        <w:spacing w:beforeAutospacing="0" w:before="0" w:afterAutospacing="0" w:after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по реализации программы:» слова «в 2022 году — 4603 000 руб., из них бюджет Сосновского муниципального района — 327 200 руб.» заменить словами «в 2022 году — 3 823 306 руб., из них бюджет Сосновского муниципального района — 515 608 руб.»</w:t>
      </w:r>
    </w:p>
    <w:p>
      <w:pPr>
        <w:pStyle w:val="Normal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администрации Сосновского муниципального района (О.В.Осипова)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>
      <w:pPr>
        <w:pStyle w:val="Normal"/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С.А. Чигинцева.</w:t>
      </w: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Сосновского</w:t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</w:t>
        <w:tab/>
        <w:tab/>
        <w:tab/>
        <w:tab/>
        <w:tab/>
        <w:tab/>
        <w:t xml:space="preserve">   </w:t>
        <w:tab/>
        <w:t>Е.Г. Ваганов</w:t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1493" w:leader="none"/>
        </w:tabs>
        <w:spacing w:lineRule="auto" w:line="24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Сосновского муниципального района</w:t>
      </w:r>
    </w:p>
    <w:p>
      <w:pPr>
        <w:pStyle w:val="Normal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________2021 года № ______.</w:t>
      </w:r>
    </w:p>
    <w:p>
      <w:pPr>
        <w:pStyle w:val="Normal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  <w:br/>
        <w:t xml:space="preserve">«Повышение безопасности дорожного движения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Сосновском муниципальном районе»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2021 – 2022 годы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3127"/>
        <w:gridCol w:w="6932"/>
      </w:tblGrid>
      <w:tr>
        <w:trPr>
          <w:trHeight w:val="936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>
        <w:trPr>
          <w:trHeight w:val="100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Сосновского муниципального района, Сельские поселения  Сосновского муниципального района  (по согласованию), ОГИБДД  по Сосновскому  району (по согласованию)</w:t>
            </w:r>
          </w:p>
        </w:tc>
      </w:tr>
      <w:tr>
        <w:trPr>
          <w:trHeight w:val="1004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программные мероприятия  </w:t>
            </w:r>
          </w:p>
        </w:tc>
      </w:tr>
      <w:tr>
        <w:trPr>
          <w:trHeight w:val="1643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аварийности и травматизма на дорогах Сосновском района;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3" w:tgtFrame="Требования безопасности">
              <w:r>
                <w:rPr>
                  <w:color w:val="000000"/>
                  <w:sz w:val="28"/>
                  <w:szCs w:val="28"/>
                  <w:u w:val="none"/>
                </w:rPr>
                <w:t>требованиями безопасности</w:t>
              </w:r>
            </w:hyperlink>
            <w:r>
              <w:rPr>
                <w:color w:val="000000"/>
                <w:sz w:val="28"/>
                <w:szCs w:val="28"/>
              </w:rPr>
              <w:t xml:space="preserve"> дорожного движения.</w:t>
            </w:r>
          </w:p>
        </w:tc>
      </w:tr>
      <w:tr>
        <w:trPr>
          <w:trHeight w:val="161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повышение уровня законопослушного поведения участников дорожного движения;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снижение детского дорожно-транспортного травматизма;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организации движения транспорта и пешеходов в Сосновском районе.</w:t>
            </w:r>
          </w:p>
        </w:tc>
      </w:tr>
      <w:tr>
        <w:trPr>
          <w:trHeight w:val="1416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    и показатели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 Число лиц, погибших в дорожно-транспортных происшествиях в сравнении с базовыми показателями 2019 года;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 Число детей, погибших в дорожно-транспортных происшествиях в сравнении с базовыми показателями 2019 года;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  Социальный риск (число лиц, погибших в дорожно-транспортных происшествиях, на 100 тыс. населения);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>
        <w:trPr>
          <w:trHeight w:val="639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2021 - 2022 годы без разделения на отдельные этапы </w:t>
            </w:r>
          </w:p>
        </w:tc>
      </w:tr>
      <w:tr>
        <w:trPr>
          <w:trHeight w:val="416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Общий объем финансирования Программы:</w:t>
            </w:r>
          </w:p>
          <w:p>
            <w:pPr>
              <w:pStyle w:val="Normal"/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в 2021 году – 5 823 тыс. руб. </w:t>
            </w:r>
          </w:p>
          <w:p>
            <w:pPr>
              <w:pStyle w:val="Normal"/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>в 2022 году – 3 823,306 тыс. руб.</w:t>
            </w:r>
          </w:p>
          <w:p>
            <w:pPr>
              <w:pStyle w:val="Normal"/>
              <w:ind w:left="132" w:hang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</w:r>
          </w:p>
        </w:tc>
      </w:tr>
      <w:tr>
        <w:trPr>
          <w:trHeight w:val="143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Программы определяется степенью достижения показателей Программы: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дорожного - транспортных происшествий с участием детей;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дорожным условиям;</w:t>
            </w:r>
          </w:p>
          <w:p>
            <w:pPr>
              <w:pStyle w:val="NormalWeb"/>
              <w:spacing w:beforeAutospacing="0" w:before="0" w:afterAutospacing="0" w:after="0"/>
              <w:ind w:lef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Сосновского муниципального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дорог: 1427 км, из них федеральных – 100 км, областного значения – 323 км, муниципального значения – 1004 км.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Железнодорожных переездов – 12, из них 1 ведомственный.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2020 года на территории Сосновского муниципального района совершено всего 1148 (в 2019 году – 1185 ДТП), из них с пострадавшими 132 ДТП (в 2019 году – 147 ДТП), при которых 17 человека погибло (2019 году – 15 человек) 181 человек получили ранения различной степени тяжести (2019 году – 202 человека).</w:t>
      </w:r>
    </w:p>
    <w:p>
      <w:pPr>
        <w:pStyle w:val="Normal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Особую тревогу вызывает детский дорожно-транспортный травматизм. За 10 месяцев 2020 года произошло 14 ДТП с участием детей (в 2019 году – 18 ДТП), при которых 15 ребенка получили ранения (в 2019 году – 22 детей), один ребенок погиб (в 2019 году - 0).</w:t>
      </w:r>
    </w:p>
    <w:p>
      <w:pPr>
        <w:pStyle w:val="Normal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С участием пешеходов зарегистрировано 19 ДТП (в 2019 году – 19 ДТП), в которых погибло 2 человек (в 2019 году – 7 человек) и ранено 18 пешеходов (в 2019 году – 11 человек),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из них детей ранено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3 (2019 году – 1 ребенка).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совершения ДТП в отчетном периоде является нарушение правил расположения ТС на проезжей части. В 8 % местах совершения 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крайне недостаточен, его качество не соответствует современным требованиям.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2020 года по линии дорожного надзора составлено по ст. 12.33 КоАП РФ за повреждение дорог и дорожных сооружений –23 административных протоколов, по ст. 12.34 КоАП РФ за нарушение правил содержания дорог – 10 административных протоколов, выдано предписаний – 132.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в суд направлено 406 материалов. Лишены права управления 166 человек. В СМИ направлено 50 заметки. В образовательных учреждениях района проведено 50 бесед со школьниками, выявлено 131 нарушений Правил дорожного движения детьми.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 постоянного контроля осуществление пассажирских перевозок, перевозок детей автобусами.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показатели: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2"/>
        <w:gridCol w:w="6591"/>
        <w:gridCol w:w="1422"/>
        <w:gridCol w:w="1271"/>
      </w:tblGrid>
      <w:tr>
        <w:trPr>
          <w:trHeight w:val="836" w:hRule="atLeast"/>
        </w:trPr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(процент)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погибших в дорожно-транспортных происшествиях, (по отношению к 2019 году)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- 1,2 %</w:t>
            </w:r>
          </w:p>
        </w:tc>
      </w:tr>
      <w:tr>
        <w:trPr>
          <w:trHeight w:val="667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погибших в дорожно-транспортных происшествиях, (по отношению к 2019 году).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+ 0,0 %</w:t>
            </w:r>
          </w:p>
        </w:tc>
      </w:tr>
      <w:tr>
        <w:trPr>
          <w:trHeight w:val="966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риск (число лиц, погибших в дорожно-транспортных происшествиях, на 100 тыс. населения) , (по отношению к 2019 году).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- 1,2 %</w:t>
            </w:r>
          </w:p>
        </w:tc>
      </w:tr>
      <w:tr>
        <w:trPr>
          <w:trHeight w:val="1288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на 10 тыс. транспортных средств) , (по отношению к 2019 году).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- 1,2 %</w:t>
            </w:r>
          </w:p>
        </w:tc>
      </w:tr>
    </w:tbl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72335 человек населения зарегистрировано 35733 ед. автотранспорта.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79055 человек населения зарегистрировано 38985 ед. автотранспорта.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Сосновского муниципального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Сосновского муниципального района (по согласованию);</w:t>
      </w:r>
    </w:p>
    <w:p>
      <w:pPr>
        <w:sectPr>
          <w:type w:val="nextPage"/>
          <w:pgSz w:w="11906" w:h="16838"/>
          <w:pgMar w:left="1418" w:right="843" w:header="0" w:top="1134" w:footer="0" w:bottom="136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Отдел ГИБДД Отдела МВД России по Сосновскому району (по согласованию).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 Программы на 2021 - 2022 г.г.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00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20"/>
        <w:gridCol w:w="6574"/>
        <w:gridCol w:w="1560"/>
        <w:gridCol w:w="1588"/>
        <w:gridCol w:w="1531"/>
        <w:gridCol w:w="1700"/>
        <w:gridCol w:w="2126"/>
      </w:tblGrid>
      <w:tr>
        <w:trPr>
          <w:trHeight w:val="325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right="-81" w:firstLine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финансиро-вания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затраты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>
        <w:trPr>
          <w:trHeight w:val="325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год.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8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923" w:hRule="atLeast"/>
          <w:cantSplit w:val="true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тально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ГИБДД 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>
        <w:trPr>
          <w:trHeight w:val="1030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вовлечения граждан в добровольные народные дружины в сфере безопасности  дорожного движения, принятие мер по стимулированию деятельности граждан (система поощрений).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trHeight w:val="1490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профилактики детского дорожно-транспортного травматизма.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>
        <w:trPr>
          <w:trHeight w:val="1296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детскоюнешекских автошкол, отрядов юных инспекторов движения.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trHeight w:val="1574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trHeight w:val="1096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функционирование родительских патрулей для осуществления контроля за соблюдением учащимися Правил дорожного движения по пути следования в школу и обратно домой.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trHeight w:val="1982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родительской общественности в мероприятие по обучению детей основам безопасности участия в дорожном движении, в том числе с участием в родительских собраниях с освещением вопросов безопасного поведения детей на дорогах. Обеспечение безопасности детей при перевозках в транспортных средствах.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trHeight w:val="89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широкомасштабных социальных компаний, установка наружной социальной рекламы по профилактике ДТП.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2022 г.г.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>
        <w:trPr>
          <w:trHeight w:val="408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информационному сопровождению в СМИ и сети «Интернет» реализации мероприятий по обеспечению безопасности дорожного движения.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проектов организации дорожного движения на улично-дорожную сеть населенных пунктов и автомобильных дорог муниципального значения (комплексные схемы организации дорожного движения) в 2021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2 570 000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ind w:left="14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2 520 306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Теченского, Саккуловского, Долгодервенского, Есаульского, Рощинского, Мирненского, Краснопольского, Кременкульского, Алишевского, Полетаевского, Солнечного, Томинского, Саргазинского, Архангельского и Вознесенского сельских поселений</w:t>
            </w:r>
          </w:p>
        </w:tc>
      </w:tr>
      <w:tr>
        <w:trPr>
          <w:trHeight w:val="1076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строительство тротуаров: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- 2022 год – переулок Больничный с. Долгодеревенское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полном объеме согласно проекту дорожного движения);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 год – с. Долгодеревенское, ул. Советская (в полном объеме согласно проекту дорожного движения)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>
        <w:trPr>
          <w:trHeight w:val="852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строительство искусственных неровностей: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ул. Ленина, с. Долгодеревенское;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ул. Мира, с. Долгодеревенское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внесением необходимых изменений и дополнений в проект организации дорожного движения, с обустройством соответствующими дорожными знаками и линиями разметки);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>
        <w:trPr>
          <w:trHeight w:val="933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районных массовых мероприятий с детьми по безопасности дорожного движения, конкурсо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Модернизация светофорных объектов: на пересечении улицы Свердловская и 50 лет ВЛКСМ. с. Долгодеревенское.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>
        <w:trPr>
          <w:trHeight w:val="469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Нанесение дорожной разметки 1.14.1 «Зебра» в сочетании полос белого и желтого цвета на 25 пешеходных переходах, в том числе на подходах к детским образовательным учреждениям, расположенных: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– Теченский ул. Школьная, 2 – Полетаево ул. Пионерская, 2- п. Есаульский ул. Рябиновая и ул. Бердюгина, 4 – Рощино ул. Фабричная и Ленина, 3 – Саргазы, 8 –                                          с. Долгодеревенское ул. Строительная и ул. Ленина, 3 – п. Полевой ул. Центральная и ул. Лесная,  6 -Кременкуль, ул. Ленина ул. Лесная 2 – п. Вознесенка ул. Школьная, 1 - п. Томино, ул. Мира, 5- п. Солнечный, ул. Мира и ул. Гагарина, 2- д. Смольное – ул.Школьная, 1- д. Султаева, ул. Шкоьная.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августа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Нанесение разметки 1.14.1 на 1 пешеходном переходе 23800 руб., на 41 переходах –975 800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разметки 1.14.1 на 1 пешеходном переходе 23800 руб., 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41 переходном –975 800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Полетаевского,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Кременкульского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Есаульского, Рощинского,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Саккуловского, Саргазинского,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Солнечного, Вознесенского,</w:t>
            </w:r>
          </w:p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Томинского Долгодеревенского сельских поселений</w:t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условий для эффективной работы подразделений ГИБДД по обеспечению контрольно-надзорных функций в сфере безопасности дорожного движения, взысканию административных штрафов, за счет госпошлины, перечисляемой в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и выявлению правонарушений владельцами транспортных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600 000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>
        <w:trPr>
          <w:cantSplit w:val="true"/>
        </w:trPr>
        <w:tc>
          <w:tcPr>
            <w:tcW w:w="15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реализации программы:                </w:t>
            </w:r>
            <w:r>
              <w:rPr>
                <w:b/>
                <w:sz w:val="26"/>
                <w:szCs w:val="26"/>
              </w:rPr>
              <w:t>на 2021 год</w:t>
            </w:r>
            <w:r>
              <w:rPr>
                <w:sz w:val="26"/>
                <w:szCs w:val="26"/>
              </w:rPr>
              <w:t xml:space="preserve"> –  5 823 000 руб.,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>из них бюджет Сосновского муниципального района – 927 200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на 2022 год </w:t>
            </w:r>
            <w:r>
              <w:rPr>
                <w:sz w:val="26"/>
                <w:szCs w:val="26"/>
              </w:rPr>
              <w:t>–  3 823 306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руб.;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sz w:val="26"/>
                <w:szCs w:val="26"/>
              </w:rPr>
              <w:t>из них бюджет Сосновского муниципального района – 515 608 руб.</w:t>
            </w:r>
          </w:p>
        </w:tc>
      </w:tr>
    </w:tbl>
    <w:p>
      <w:pPr>
        <w:pStyle w:val="Style19"/>
        <w:jc w:val="both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460" w:right="289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Microsoft Sans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keepNext w:val="true"/>
      <w:spacing w:lineRule="auto" w:line="360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qFormat/>
    <w:rPr>
      <w:rFonts w:cs="Times New Roman"/>
      <w:sz w:val="24"/>
      <w:szCs w:val="24"/>
    </w:rPr>
  </w:style>
  <w:style w:type="character" w:styleId="Style14" w:customStyle="1">
    <w:name w:val="Текст выноски Знак"/>
    <w:basedOn w:val="DefaultParagraphFont"/>
    <w:link w:val="a5"/>
    <w:uiPriority w:val="99"/>
    <w:qFormat/>
    <w:rPr>
      <w:rFonts w:cs="Times New Roman"/>
      <w:sz w:val="2"/>
    </w:rPr>
  </w:style>
  <w:style w:type="character" w:styleId="Style15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rPr>
      <w:rFonts w:cs="Times New Roman"/>
      <w:color w:val="800080"/>
      <w:u w:val="single"/>
    </w:rPr>
  </w:style>
  <w:style w:type="character" w:styleId="Style17" w:customStyle="1">
    <w:name w:val="Гипертекстовая ссылка"/>
    <w:uiPriority w:val="99"/>
    <w:qFormat/>
    <w:rPr>
      <w:color w:val="106BB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4"/>
    <w:uiPriority w:val="99"/>
    <w:pPr>
      <w:jc w:val="center"/>
    </w:pPr>
    <w:rPr>
      <w:sz w:val="28"/>
    </w:rPr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6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Style41" w:customStyle="1">
    <w:name w:val="Style4"/>
    <w:basedOn w:val="Normal"/>
    <w:uiPriority w:val="99"/>
    <w:qFormat/>
    <w:pPr>
      <w:widowControl w:val="false"/>
      <w:suppressAutoHyphens w:val="true"/>
      <w:spacing w:lineRule="exact" w:line="338"/>
      <w:ind w:firstLine="691"/>
    </w:pPr>
    <w:rPr>
      <w:rFonts w:ascii="Microsoft Sans Serif" w:hAnsi="Microsoft Sans Serif" w:cs="Microsoft Sans Serif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604.179" TargetMode="External"/><Relationship Id="rId3" Type="http://schemas.openxmlformats.org/officeDocument/2006/relationships/hyperlink" Target="http://pandia.ru/text/category/trebovaniya_bezopasnost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LibreOffice/6.4.7.2$Linux_X86_64 LibreOffice_project/40$Build-2</Application>
  <Pages>10</Pages>
  <Words>1810</Words>
  <Characters>12277</Characters>
  <CharactersWithSpaces>14163</CharactersWithSpaces>
  <Paragraphs>259</Paragraphs>
  <Company>УСХ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2021-08-24T13:05:00Z</dcterms:created>
  <dc:creator>Зоя</dc:creator>
  <dc:description/>
  <dc:language>ru-RU</dc:language>
  <cp:lastModifiedBy/>
  <cp:lastPrinted>2022-05-18T10:03:53Z</cp:lastPrinted>
  <dcterms:modified xsi:type="dcterms:W3CDTF">2022-05-19T17:03:17Z</dcterms:modified>
  <cp:revision>16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УСХ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