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8461D5"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КРАСНОПОЛЬСКОГО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8461D5">
              <w:rPr>
                <w:sz w:val="22"/>
                <w:szCs w:val="22"/>
              </w:rPr>
              <w:t>Краснопольского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8461D5">
              <w:rPr>
                <w:spacing w:val="2"/>
                <w:sz w:val="22"/>
                <w:szCs w:val="22"/>
              </w:rPr>
              <w:t>Краснопольского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8461D5">
              <w:rPr>
                <w:rFonts w:eastAsia="Arial" w:cs="Arial"/>
                <w:bCs/>
                <w:spacing w:val="2"/>
                <w:sz w:val="22"/>
                <w:szCs w:val="22"/>
              </w:rPr>
              <w:t>Краснопольского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8461D5">
        <w:rPr>
          <w:rFonts w:ascii="Segoe UI Light" w:hAnsi="Segoe UI Light"/>
        </w:rPr>
        <w:t>Краснопольского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8461D5">
        <w:rPr>
          <w:rFonts w:ascii="Segoe UI Light" w:eastAsia="Times New Roman" w:hAnsi="Segoe UI Light" w:cs="Times New Roman"/>
          <w:lang w:eastAsia="ru-RU"/>
        </w:rPr>
        <w:t>Краснопольского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8461D5">
        <w:rPr>
          <w:rFonts w:ascii="Segoe UI Light" w:hAnsi="Segoe UI Light"/>
        </w:rPr>
        <w:t>Краснопольского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8461D5">
        <w:rPr>
          <w:rFonts w:ascii="Segoe UI Light" w:eastAsia="Arial" w:hAnsi="Segoe UI Light" w:cs="Arial"/>
        </w:rPr>
        <w:t>Краснопольского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8461D5">
        <w:rPr>
          <w:rFonts w:ascii="Segoe UI Light" w:eastAsia="Arial" w:hAnsi="Segoe UI Light" w:cs="Arial"/>
        </w:rPr>
        <w:t>Краснопольского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8461D5">
        <w:rPr>
          <w:rFonts w:ascii="Segoe UI Light" w:eastAsia="Arial" w:hAnsi="Segoe UI Light" w:cs="Arial"/>
        </w:rPr>
        <w:t>Краснопольского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0EE" w:rsidRDefault="009830EE" w:rsidP="001A4604">
      <w:pPr>
        <w:spacing w:after="0" w:line="240" w:lineRule="auto"/>
      </w:pPr>
      <w:r>
        <w:separator/>
      </w:r>
    </w:p>
  </w:endnote>
  <w:endnote w:type="continuationSeparator" w:id="0">
    <w:p w:rsidR="009830EE" w:rsidRDefault="009830EE"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0EE" w:rsidRDefault="009830EE" w:rsidP="001A4604">
      <w:pPr>
        <w:spacing w:after="0" w:line="240" w:lineRule="auto"/>
      </w:pPr>
      <w:r>
        <w:separator/>
      </w:r>
    </w:p>
  </w:footnote>
  <w:footnote w:type="continuationSeparator" w:id="0">
    <w:p w:rsidR="009830EE" w:rsidRDefault="009830EE"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8A10DA" w:rsidP="002257C5">
        <w:pPr>
          <w:pStyle w:val="a9"/>
          <w:jc w:val="right"/>
        </w:pPr>
        <w:r>
          <w:fldChar w:fldCharType="begin"/>
        </w:r>
        <w:r w:rsidR="002067E7">
          <w:instrText xml:space="preserve"> PAGE   \* MERGEFORMAT </w:instrText>
        </w:r>
        <w:r>
          <w:fldChar w:fldCharType="separate"/>
        </w:r>
        <w:r w:rsidR="008461D5">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61D5"/>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0DA"/>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30EE"/>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57B3E-BBB5-42FF-926E-667E08EC3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2016-10-25T06:57:00Z</dcterms:modified>
</cp:coreProperties>
</file>