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270381" w:rsidP="003E2015">
            <w:pPr>
              <w:ind w:firstLine="6566"/>
              <w:jc w:val="right"/>
            </w:pPr>
            <w:r>
              <w:t>Мирненского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B45F28" w:rsidP="003E2015">
            <w:pPr>
              <w:ind w:firstLine="6566"/>
              <w:jc w:val="right"/>
            </w:pPr>
            <w:r>
              <w:t xml:space="preserve">от 15.04.2015 № 5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270381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Мирненского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0,5 до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>0,15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val="32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09" w:rsidRDefault="004A3B09" w:rsidP="006E7B4F">
      <w:r>
        <w:separator/>
      </w:r>
    </w:p>
  </w:endnote>
  <w:endnote w:type="continuationSeparator" w:id="0">
    <w:p w:rsidR="004A3B09" w:rsidRDefault="004A3B09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720FE4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720FE4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45F28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09" w:rsidRDefault="004A3B09" w:rsidP="006E7B4F">
      <w:r>
        <w:separator/>
      </w:r>
    </w:p>
  </w:footnote>
  <w:footnote w:type="continuationSeparator" w:id="0">
    <w:p w:rsidR="004A3B09" w:rsidRDefault="004A3B09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0E347C"/>
    <w:rsid w:val="00270381"/>
    <w:rsid w:val="00302E36"/>
    <w:rsid w:val="00390600"/>
    <w:rsid w:val="003E2015"/>
    <w:rsid w:val="00425E06"/>
    <w:rsid w:val="00484DC8"/>
    <w:rsid w:val="004A3B09"/>
    <w:rsid w:val="00500B40"/>
    <w:rsid w:val="00656211"/>
    <w:rsid w:val="006D5546"/>
    <w:rsid w:val="006E7B4F"/>
    <w:rsid w:val="00720FE4"/>
    <w:rsid w:val="008C10DD"/>
    <w:rsid w:val="00A13204"/>
    <w:rsid w:val="00B2736A"/>
    <w:rsid w:val="00B45F28"/>
    <w:rsid w:val="00B87786"/>
    <w:rsid w:val="00C61EED"/>
    <w:rsid w:val="00CC28F5"/>
    <w:rsid w:val="00DC3160"/>
    <w:rsid w:val="00EA60E5"/>
    <w:rsid w:val="00E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5F2E-8429-48F1-9E90-7BF41B99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13523</Words>
  <Characters>77083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2017-06-08T11:36:00Z</dcterms:modified>
</cp:coreProperties>
</file>