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9" w:rsidRPr="00072D7C" w:rsidRDefault="00CD7CD9" w:rsidP="00CD7CD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72D7C">
        <w:rPr>
          <w:rFonts w:ascii="Times New Roman" w:hAnsi="Times New Roman" w:cs="Times New Roman"/>
          <w:b/>
          <w:sz w:val="32"/>
          <w:szCs w:val="32"/>
        </w:rPr>
        <w:t xml:space="preserve">Годовой отчет о ходе реализации 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Муниципальной районной программы  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072D7C">
        <w:rPr>
          <w:rFonts w:ascii="Times New Roman" w:hAnsi="Times New Roman" w:cs="Times New Roman"/>
          <w:sz w:val="28"/>
          <w:szCs w:val="28"/>
        </w:rPr>
        <w:t xml:space="preserve"> в Сосновском районе на 2018-20</w:t>
      </w:r>
      <w:r w:rsidRPr="00CD7CD9">
        <w:rPr>
          <w:rFonts w:ascii="Times New Roman" w:hAnsi="Times New Roman" w:cs="Times New Roman"/>
          <w:sz w:val="28"/>
          <w:szCs w:val="28"/>
        </w:rPr>
        <w:t>20гг.»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 на 201</w:t>
      </w:r>
      <w:r w:rsidR="00072D7C">
        <w:rPr>
          <w:rFonts w:ascii="Times New Roman" w:hAnsi="Times New Roman" w:cs="Times New Roman"/>
          <w:sz w:val="28"/>
          <w:szCs w:val="28"/>
        </w:rPr>
        <w:t>8</w:t>
      </w:r>
      <w:r w:rsidRPr="00CD7CD9">
        <w:rPr>
          <w:rFonts w:ascii="Times New Roman" w:hAnsi="Times New Roman" w:cs="Times New Roman"/>
          <w:sz w:val="28"/>
          <w:szCs w:val="28"/>
        </w:rPr>
        <w:t xml:space="preserve"> - 2020 годы, утвержденной постановлением администрации Сосновского муниципального района Челябинской области от </w:t>
      </w:r>
      <w:r w:rsidR="00072D7C">
        <w:rPr>
          <w:rFonts w:ascii="Times New Roman" w:hAnsi="Times New Roman" w:cs="Times New Roman"/>
          <w:sz w:val="28"/>
          <w:szCs w:val="28"/>
        </w:rPr>
        <w:t>01</w:t>
      </w:r>
      <w:r w:rsidRPr="00CD7CD9">
        <w:rPr>
          <w:rFonts w:ascii="Times New Roman" w:hAnsi="Times New Roman" w:cs="Times New Roman"/>
          <w:sz w:val="28"/>
          <w:szCs w:val="28"/>
        </w:rPr>
        <w:t>.</w:t>
      </w:r>
      <w:r w:rsidR="00072D7C">
        <w:rPr>
          <w:rFonts w:ascii="Times New Roman" w:hAnsi="Times New Roman" w:cs="Times New Roman"/>
          <w:sz w:val="28"/>
          <w:szCs w:val="28"/>
        </w:rPr>
        <w:t>12</w:t>
      </w:r>
      <w:r w:rsidRPr="00CD7CD9">
        <w:rPr>
          <w:rFonts w:ascii="Times New Roman" w:hAnsi="Times New Roman" w:cs="Times New Roman"/>
          <w:sz w:val="28"/>
          <w:szCs w:val="28"/>
        </w:rPr>
        <w:t>.201</w:t>
      </w:r>
      <w:r w:rsidR="00072D7C">
        <w:rPr>
          <w:rFonts w:ascii="Times New Roman" w:hAnsi="Times New Roman" w:cs="Times New Roman"/>
          <w:sz w:val="28"/>
          <w:szCs w:val="28"/>
        </w:rPr>
        <w:t>7</w:t>
      </w:r>
      <w:r w:rsidRPr="00CD7CD9">
        <w:rPr>
          <w:rFonts w:ascii="Times New Roman" w:hAnsi="Times New Roman" w:cs="Times New Roman"/>
          <w:sz w:val="28"/>
          <w:szCs w:val="28"/>
        </w:rPr>
        <w:t xml:space="preserve"> № </w:t>
      </w:r>
      <w:r w:rsidR="00072D7C">
        <w:rPr>
          <w:rFonts w:ascii="Times New Roman" w:hAnsi="Times New Roman" w:cs="Times New Roman"/>
          <w:sz w:val="28"/>
          <w:szCs w:val="28"/>
        </w:rPr>
        <w:t>4020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2D7C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CD7CD9">
        <w:rPr>
          <w:rFonts w:ascii="Times New Roman" w:hAnsi="Times New Roman" w:cs="Times New Roman"/>
          <w:sz w:val="28"/>
          <w:szCs w:val="28"/>
        </w:rPr>
        <w:t>Ответственный</w:t>
      </w:r>
      <w:r w:rsidR="00072D7C">
        <w:rPr>
          <w:rFonts w:ascii="Times New Roman" w:hAnsi="Times New Roman" w:cs="Times New Roman"/>
          <w:sz w:val="28"/>
          <w:szCs w:val="28"/>
        </w:rPr>
        <w:t xml:space="preserve">  </w:t>
      </w:r>
      <w:r w:rsidRPr="00CD7CD9">
        <w:rPr>
          <w:rFonts w:ascii="Times New Roman" w:hAnsi="Times New Roman" w:cs="Times New Roman"/>
          <w:sz w:val="28"/>
          <w:szCs w:val="28"/>
        </w:rPr>
        <w:t>исполнитель</w:t>
      </w:r>
      <w:proofErr w:type="gramEnd"/>
      <w:r w:rsidR="00072D7C">
        <w:rPr>
          <w:rFonts w:ascii="Times New Roman" w:hAnsi="Times New Roman" w:cs="Times New Roman"/>
          <w:sz w:val="28"/>
          <w:szCs w:val="28"/>
        </w:rPr>
        <w:t>: Ад</w:t>
      </w:r>
      <w:r w:rsidRPr="00CD7CD9">
        <w:rPr>
          <w:rFonts w:ascii="Times New Roman" w:hAnsi="Times New Roman" w:cs="Times New Roman"/>
          <w:sz w:val="28"/>
          <w:szCs w:val="28"/>
        </w:rPr>
        <w:t>министрация Сосновского</w:t>
      </w:r>
      <w:r w:rsidR="00072D7C">
        <w:rPr>
          <w:rFonts w:ascii="Times New Roman" w:hAnsi="Times New Roman" w:cs="Times New Roman"/>
          <w:sz w:val="28"/>
          <w:szCs w:val="28"/>
        </w:rPr>
        <w:t xml:space="preserve">  муниципального  района                                             </w:t>
      </w:r>
    </w:p>
    <w:p w:rsidR="00CD7CD9" w:rsidRPr="00CD7CD9" w:rsidRDefault="00072D7C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D7CD9" w:rsidRPr="00CD7CD9"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Отчетный </w:t>
      </w:r>
      <w:proofErr w:type="gramStart"/>
      <w:r w:rsidRPr="00CD7CD9">
        <w:rPr>
          <w:rFonts w:ascii="Times New Roman" w:hAnsi="Times New Roman" w:cs="Times New Roman"/>
          <w:sz w:val="28"/>
          <w:szCs w:val="28"/>
        </w:rPr>
        <w:t>год</w:t>
      </w:r>
      <w:r w:rsidR="00072D7C">
        <w:rPr>
          <w:rFonts w:ascii="Times New Roman" w:hAnsi="Times New Roman" w:cs="Times New Roman"/>
          <w:sz w:val="28"/>
          <w:szCs w:val="28"/>
        </w:rPr>
        <w:t xml:space="preserve">:  </w:t>
      </w:r>
      <w:r w:rsidRPr="00CD7CD9">
        <w:rPr>
          <w:rFonts w:ascii="Times New Roman" w:hAnsi="Times New Roman" w:cs="Times New Roman"/>
          <w:sz w:val="28"/>
          <w:szCs w:val="28"/>
        </w:rPr>
        <w:t>2019</w:t>
      </w:r>
      <w:proofErr w:type="gramEnd"/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 w:rsidR="00072D7C">
        <w:rPr>
          <w:rFonts w:ascii="Times New Roman" w:hAnsi="Times New Roman" w:cs="Times New Roman"/>
          <w:sz w:val="28"/>
          <w:szCs w:val="28"/>
        </w:rPr>
        <w:t>:</w:t>
      </w:r>
      <w:r w:rsidRPr="00CD7CD9">
        <w:rPr>
          <w:rFonts w:ascii="Times New Roman" w:hAnsi="Times New Roman" w:cs="Times New Roman"/>
          <w:sz w:val="28"/>
          <w:szCs w:val="28"/>
        </w:rPr>
        <w:t xml:space="preserve"> 1</w:t>
      </w:r>
      <w:r w:rsidR="00072D7C">
        <w:rPr>
          <w:rFonts w:ascii="Times New Roman" w:hAnsi="Times New Roman" w:cs="Times New Roman"/>
          <w:sz w:val="28"/>
          <w:szCs w:val="28"/>
        </w:rPr>
        <w:t>8</w:t>
      </w:r>
      <w:r w:rsidRPr="00CD7CD9">
        <w:rPr>
          <w:rFonts w:ascii="Times New Roman" w:hAnsi="Times New Roman" w:cs="Times New Roman"/>
          <w:sz w:val="28"/>
          <w:szCs w:val="28"/>
        </w:rPr>
        <w:t xml:space="preserve"> </w:t>
      </w:r>
      <w:r w:rsidR="00072D7C">
        <w:rPr>
          <w:rFonts w:ascii="Times New Roman" w:hAnsi="Times New Roman" w:cs="Times New Roman"/>
          <w:sz w:val="28"/>
          <w:szCs w:val="28"/>
        </w:rPr>
        <w:t>августа</w:t>
      </w:r>
      <w:r w:rsidRPr="00CD7CD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Исполнитель</w:t>
      </w:r>
      <w:r w:rsidR="00072D7C">
        <w:rPr>
          <w:rFonts w:ascii="Times New Roman" w:hAnsi="Times New Roman" w:cs="Times New Roman"/>
          <w:sz w:val="28"/>
          <w:szCs w:val="28"/>
        </w:rPr>
        <w:t xml:space="preserve">: </w:t>
      </w:r>
      <w:r w:rsidRPr="00CD7C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F5F6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25CD6">
        <w:rPr>
          <w:rFonts w:ascii="Times New Roman" w:hAnsi="Times New Roman" w:cs="Times New Roman"/>
          <w:sz w:val="28"/>
          <w:szCs w:val="28"/>
        </w:rPr>
        <w:t>по делам молодежи, физической культуре и спорту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 </w:t>
      </w:r>
    </w:p>
    <w:p w:rsidR="00CD7CD9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Юлия Геннадьевна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8(351-44)9-03-2</w:t>
      </w:r>
      <w:r w:rsidR="00F25CD6">
        <w:rPr>
          <w:rFonts w:ascii="Times New Roman" w:hAnsi="Times New Roman" w:cs="Times New Roman"/>
          <w:sz w:val="28"/>
          <w:szCs w:val="28"/>
        </w:rPr>
        <w:t>9</w:t>
      </w:r>
    </w:p>
    <w:p w:rsidR="00CD7CD9" w:rsidRDefault="007C1230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5CD6" w:rsidRPr="00624941">
          <w:rPr>
            <w:rStyle w:val="a7"/>
            <w:rFonts w:ascii="Times New Roman" w:hAnsi="Times New Roman" w:cs="Times New Roman"/>
            <w:sz w:val="28"/>
            <w:szCs w:val="28"/>
          </w:rPr>
          <w:t>mol-sport@chelsosna.ru</w:t>
        </w:r>
      </w:hyperlink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D7CD9" w:rsidRPr="00CD7CD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p w:rsid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F25CD6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3F7E" w:rsidRDefault="00193F7E" w:rsidP="00F25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3F7E" w:rsidRDefault="00193F7E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  <w:sectPr w:rsidR="00F25CD6" w:rsidSect="00072D7C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193F7E" w:rsidRPr="00193F7E" w:rsidRDefault="00193F7E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F7E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физической культуры и массового спорта на территории Сосновского муниципального района 2019 год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Работа по развитию физической культуры и массового спорта в районе осуществляется во взаимодействии отдела по делам молодежи, физической культуры и спорта, с администрациями сельских поселений, управлением образования, спортивными школами.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- обеспечение условий для развития на территории района физической культуры и массового спорта;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мероприятий;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- внедрение комплекса ГТО.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Спортивные сооружения.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организации спортивно-массовой работы в районе имеется 152 спортивных объекта, в том числе 41 спортивных зала, 69 плоскостных объектов (хоккейные площадки, поля для футбола и мини-футбола, школьные спортивные площадки), из них 4 футбольных поля, 3 плавательных бассейна (в ЛПУ «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», «Лесная застава»). В настоящее время функционируют 17 хоккейных площадок в 15 поселках. Полностью функционирует ледовый дворец «Айсберг» в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Кременкульском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Кадры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Организацию работы по физическому воспитанию населения района обеспечивают 200 штатных физкультурных работников, из тренеров по различным видам спорта – 28 человек, преподаватели по физическому воспитанию учебных заведений – 45 человек, дошкольном образовании-21.  60% работников физической культуры имеют высшее физкультурное образование. Количество работников с высшим образованием увеличивается: 2016 год – 108, 2017 год – 110, 2018-123, 2019-125.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Преподаватели физической культуры, тренеры-преподаватели спортивных школ регулярно проходят курсовую подготовку.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Организация физкультурно-массовой и спортивной работы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Определяющими показателями развития физической культуры и массового спорта являются количество занимающихся и результаты участия в соревнованиях различного уровня.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ab/>
        <w:t>Доля населения, систематически занимающихся физической культурой и спортом составляет 35,83%.  82% доля населения от 3 лет до 29 лет   систематически занимаются спортом, 54,7% всех занимающихся – это дети до 14 лет, в данной возрастной категории на протяжении последних лет наметилась положительная динамика.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lastRenderedPageBreak/>
        <w:t xml:space="preserve">В районе развиваются различные виды спорта. Увеличивается количество занимающихся такими видами спорта как бокс, баскетбол, волейбол, футбол, хоккей, дзюдо(самбо), набирают популярность такие виды спорта как тхэквондо, карате,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>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Вид спорта</w:t>
      </w:r>
      <w:r w:rsidRPr="00193F7E">
        <w:rPr>
          <w:rFonts w:ascii="Times New Roman" w:hAnsi="Times New Roman" w:cs="Times New Roman"/>
          <w:sz w:val="28"/>
          <w:szCs w:val="28"/>
        </w:rPr>
        <w:tab/>
        <w:t>Количество занимающихся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ab/>
        <w:t>2015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2016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2017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2018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2019 год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Футбол</w:t>
      </w:r>
      <w:r w:rsidRPr="00193F7E">
        <w:rPr>
          <w:rFonts w:ascii="Times New Roman" w:hAnsi="Times New Roman" w:cs="Times New Roman"/>
          <w:sz w:val="28"/>
          <w:szCs w:val="28"/>
        </w:rPr>
        <w:tab/>
        <w:t>951</w:t>
      </w:r>
      <w:r w:rsidRPr="00193F7E">
        <w:rPr>
          <w:rFonts w:ascii="Times New Roman" w:hAnsi="Times New Roman" w:cs="Times New Roman"/>
          <w:sz w:val="28"/>
          <w:szCs w:val="28"/>
        </w:rPr>
        <w:tab/>
        <w:t>957</w:t>
      </w:r>
      <w:r w:rsidRPr="00193F7E">
        <w:rPr>
          <w:rFonts w:ascii="Times New Roman" w:hAnsi="Times New Roman" w:cs="Times New Roman"/>
          <w:sz w:val="28"/>
          <w:szCs w:val="28"/>
        </w:rPr>
        <w:tab/>
        <w:t>1015</w:t>
      </w:r>
      <w:r w:rsidRPr="00193F7E">
        <w:rPr>
          <w:rFonts w:ascii="Times New Roman" w:hAnsi="Times New Roman" w:cs="Times New Roman"/>
          <w:sz w:val="28"/>
          <w:szCs w:val="28"/>
        </w:rPr>
        <w:tab/>
        <w:t>1124</w:t>
      </w:r>
      <w:r w:rsidRPr="00193F7E">
        <w:rPr>
          <w:rFonts w:ascii="Times New Roman" w:hAnsi="Times New Roman" w:cs="Times New Roman"/>
          <w:sz w:val="28"/>
          <w:szCs w:val="28"/>
        </w:rPr>
        <w:tab/>
        <w:t>1489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Волейбол</w:t>
      </w:r>
      <w:r w:rsidRPr="00193F7E">
        <w:rPr>
          <w:rFonts w:ascii="Times New Roman" w:hAnsi="Times New Roman" w:cs="Times New Roman"/>
          <w:sz w:val="28"/>
          <w:szCs w:val="28"/>
        </w:rPr>
        <w:tab/>
        <w:t>587</w:t>
      </w:r>
      <w:r w:rsidRPr="00193F7E">
        <w:rPr>
          <w:rFonts w:ascii="Times New Roman" w:hAnsi="Times New Roman" w:cs="Times New Roman"/>
          <w:sz w:val="28"/>
          <w:szCs w:val="28"/>
        </w:rPr>
        <w:tab/>
        <w:t>594</w:t>
      </w:r>
      <w:r w:rsidRPr="00193F7E">
        <w:rPr>
          <w:rFonts w:ascii="Times New Roman" w:hAnsi="Times New Roman" w:cs="Times New Roman"/>
          <w:sz w:val="28"/>
          <w:szCs w:val="28"/>
        </w:rPr>
        <w:tab/>
        <w:t>681</w:t>
      </w:r>
      <w:r w:rsidRPr="00193F7E">
        <w:rPr>
          <w:rFonts w:ascii="Times New Roman" w:hAnsi="Times New Roman" w:cs="Times New Roman"/>
          <w:sz w:val="28"/>
          <w:szCs w:val="28"/>
        </w:rPr>
        <w:tab/>
        <w:t>728</w:t>
      </w:r>
      <w:r w:rsidRPr="00193F7E">
        <w:rPr>
          <w:rFonts w:ascii="Times New Roman" w:hAnsi="Times New Roman" w:cs="Times New Roman"/>
          <w:sz w:val="28"/>
          <w:szCs w:val="28"/>
        </w:rPr>
        <w:tab/>
        <w:t>925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Баскетбол</w:t>
      </w:r>
      <w:r w:rsidRPr="00193F7E">
        <w:rPr>
          <w:rFonts w:ascii="Times New Roman" w:hAnsi="Times New Roman" w:cs="Times New Roman"/>
          <w:sz w:val="28"/>
          <w:szCs w:val="28"/>
        </w:rPr>
        <w:tab/>
        <w:t>826</w:t>
      </w:r>
      <w:r w:rsidRPr="00193F7E">
        <w:rPr>
          <w:rFonts w:ascii="Times New Roman" w:hAnsi="Times New Roman" w:cs="Times New Roman"/>
          <w:sz w:val="28"/>
          <w:szCs w:val="28"/>
        </w:rPr>
        <w:tab/>
        <w:t>840</w:t>
      </w:r>
      <w:r w:rsidRPr="00193F7E">
        <w:rPr>
          <w:rFonts w:ascii="Times New Roman" w:hAnsi="Times New Roman" w:cs="Times New Roman"/>
          <w:sz w:val="28"/>
          <w:szCs w:val="28"/>
        </w:rPr>
        <w:tab/>
        <w:t>917</w:t>
      </w:r>
      <w:r w:rsidRPr="00193F7E">
        <w:rPr>
          <w:rFonts w:ascii="Times New Roman" w:hAnsi="Times New Roman" w:cs="Times New Roman"/>
          <w:sz w:val="28"/>
          <w:szCs w:val="28"/>
        </w:rPr>
        <w:tab/>
        <w:t>1496</w:t>
      </w:r>
      <w:r w:rsidRPr="00193F7E">
        <w:rPr>
          <w:rFonts w:ascii="Times New Roman" w:hAnsi="Times New Roman" w:cs="Times New Roman"/>
          <w:sz w:val="28"/>
          <w:szCs w:val="28"/>
        </w:rPr>
        <w:tab/>
        <w:t>1789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Дзюдо</w:t>
      </w:r>
      <w:r w:rsidRPr="00193F7E">
        <w:rPr>
          <w:rFonts w:ascii="Times New Roman" w:hAnsi="Times New Roman" w:cs="Times New Roman"/>
          <w:sz w:val="28"/>
          <w:szCs w:val="28"/>
        </w:rPr>
        <w:tab/>
        <w:t>85</w:t>
      </w:r>
      <w:r w:rsidRPr="00193F7E">
        <w:rPr>
          <w:rFonts w:ascii="Times New Roman" w:hAnsi="Times New Roman" w:cs="Times New Roman"/>
          <w:sz w:val="28"/>
          <w:szCs w:val="28"/>
        </w:rPr>
        <w:tab/>
        <w:t>92</w:t>
      </w:r>
      <w:r w:rsidRPr="00193F7E">
        <w:rPr>
          <w:rFonts w:ascii="Times New Roman" w:hAnsi="Times New Roman" w:cs="Times New Roman"/>
          <w:sz w:val="28"/>
          <w:szCs w:val="28"/>
        </w:rPr>
        <w:tab/>
        <w:t>262</w:t>
      </w:r>
      <w:r w:rsidRPr="00193F7E">
        <w:rPr>
          <w:rFonts w:ascii="Times New Roman" w:hAnsi="Times New Roman" w:cs="Times New Roman"/>
          <w:sz w:val="28"/>
          <w:szCs w:val="28"/>
        </w:rPr>
        <w:tab/>
        <w:t>480</w:t>
      </w:r>
      <w:r w:rsidRPr="00193F7E">
        <w:rPr>
          <w:rFonts w:ascii="Times New Roman" w:hAnsi="Times New Roman" w:cs="Times New Roman"/>
          <w:sz w:val="28"/>
          <w:szCs w:val="28"/>
        </w:rPr>
        <w:tab/>
        <w:t>637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Бокс</w:t>
      </w:r>
      <w:r w:rsidRPr="00193F7E">
        <w:rPr>
          <w:rFonts w:ascii="Times New Roman" w:hAnsi="Times New Roman" w:cs="Times New Roman"/>
          <w:sz w:val="28"/>
          <w:szCs w:val="28"/>
        </w:rPr>
        <w:tab/>
        <w:t>173</w:t>
      </w:r>
      <w:r w:rsidRPr="00193F7E">
        <w:rPr>
          <w:rFonts w:ascii="Times New Roman" w:hAnsi="Times New Roman" w:cs="Times New Roman"/>
          <w:sz w:val="28"/>
          <w:szCs w:val="28"/>
        </w:rPr>
        <w:tab/>
        <w:t>195</w:t>
      </w:r>
      <w:r w:rsidRPr="00193F7E">
        <w:rPr>
          <w:rFonts w:ascii="Times New Roman" w:hAnsi="Times New Roman" w:cs="Times New Roman"/>
          <w:sz w:val="28"/>
          <w:szCs w:val="28"/>
        </w:rPr>
        <w:tab/>
        <w:t>201</w:t>
      </w:r>
      <w:r w:rsidRPr="00193F7E">
        <w:rPr>
          <w:rFonts w:ascii="Times New Roman" w:hAnsi="Times New Roman" w:cs="Times New Roman"/>
          <w:sz w:val="28"/>
          <w:szCs w:val="28"/>
        </w:rPr>
        <w:tab/>
        <w:t>224</w:t>
      </w:r>
      <w:r w:rsidRPr="00193F7E">
        <w:rPr>
          <w:rFonts w:ascii="Times New Roman" w:hAnsi="Times New Roman" w:cs="Times New Roman"/>
          <w:sz w:val="28"/>
          <w:szCs w:val="28"/>
        </w:rPr>
        <w:tab/>
        <w:t>398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Сосновском муниципальном районе сложилась определенная система проведения районных спортивно-массовых мероприятий, соревнований по видам спорта для различных возрастных групп.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Для организации спортивных занятий и проведения спортивных мероприятий привлекаются тренеры спортивных школ, инструкторы по спорту сельских поселений.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2019 году из областного бюджета району выделена субсидия на дополнительные ставки тренерам (5 ставок) на условиях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. Работают 10 тренеров в МОУ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СОШ (2 тренера), МОУ Краснопольская СОШ (1 тренер), МОУ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СОШ (2 тренера), ДЮСШ Сосновского района (3 тренера), ДЮСШ Полетаево (2 тренера)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привлечения к спортивным занятиям различных слоев населения проводятся районные соревнования для различных возрастных групп.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2019 году проведены все традиционные районные турниры, посвященные памяти наших земляков, соревнования в рамках летней и зимней спартакиады среди сельских поселений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Участие в областных, российских, международных соревнованиях.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15-17, 22-24. 02.2019 г. проводили на своей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территории  XVI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Областную зимнюю сельскую спартакиаду «Уральская метелица»  приняло участие более 700 человек  (в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>. 80 спортсменов района, 51 волонтёр района, более 40 организаторов), болельщики, зрители – более 1600 человек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финале 8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сезона  Кубка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«НОВАТЭК» ребята 2008/2009 года рождения из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Долгодеревенской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школы заняли 1 место.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19 сентября приняли участие во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всероссийском  массовом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забеге «Кроссе нации» организованный в  с. Рощино приняло участие более 150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Сосновском районе проходит традиционный турнир по мини-футболу среди мужских команд с июня по август 2019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года  включает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в себя 13 туров приняли участие более 400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Так же проходит традиционный турнир по хоккею с шайбой с декабря по февраль турнир включает в себя 10 туров.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30.06.2019 провели V Районный фестиваль спорта «Долгая – Жизнь! – 2019» приняло участие 1000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2019 году у нас в районе, как и по всей стране идет работа по внедрению </w:t>
      </w:r>
      <w:r w:rsidRPr="00193F7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физкультурно-спортивного комплекса ГТО.  В 2019 году провели 56 мероприятий по приему норм ГТО граждан с 6 до 79 лет. 45 добровольцев прошли сертифицированное обучение по приему норм ГТО.  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Участие в областных, российских, международных соревнованиях.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Спортсмены района принимают участие в соревнованиях различного уровня. Определяющими являются спартакиады среди сельских районов «Уральская метелица», «Золотой колос»; спартакиада «Олимпийские надежды Южного Урала», Спартакиада ветеранов труда и спорта Челябинской области.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Лучшие результаты: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На 42-х областных летних сельских спортивных игр «Золотой колос» 2019 года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Наши спортсмены принесли победы по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дзюдо: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Манаков Сергей – 1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- 1место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–2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Мазуренко Илья –3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По борьбе самбо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Мазуренко Илья –1место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–2место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Анжела –2место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Сеногноев Алексей –3место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Игнатенко Сергей-3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Котельникова Анастасия-2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Многоборье ГТО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Филистеев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Александр3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Маркунасов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Антон-1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Хотелось бы отметить работу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Рафкатовича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тренера-преподавателя секции дзюдо в п. Красное Поле. Его воспитанники регулярно становятся победителями и призерами областных районах и Всероссийских соревнований по дзюдо.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является членом сборной России по дзюдо.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Спортсмены из Полетаево заняли 2 место в соревнованиях по лыжным гонка в областной зимней сельской спартакиаде «Уральская метелица»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Спортсмены из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Кременкуля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заняли 2 место в соревнованиях по хоккею в областной зимней сельской спартакиаде «Уральская метелица»</w:t>
      </w:r>
      <w:r w:rsidRPr="00193F7E">
        <w:rPr>
          <w:rFonts w:ascii="Times New Roman" w:hAnsi="Times New Roman" w:cs="Times New Roman"/>
          <w:sz w:val="28"/>
          <w:szCs w:val="28"/>
        </w:rPr>
        <w:tab/>
      </w:r>
      <w:r w:rsidRPr="00193F7E">
        <w:rPr>
          <w:rFonts w:ascii="Times New Roman" w:hAnsi="Times New Roman" w:cs="Times New Roman"/>
          <w:sz w:val="28"/>
          <w:szCs w:val="28"/>
        </w:rPr>
        <w:tab/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участия в областных спартакиадах «Золотой колос» и «Уральская метелица» для спортсменов приобретается необходимая экипировка.</w:t>
      </w:r>
    </w:p>
    <w:p w:rsid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2019 году у нас в районе, как и по всей стране идет работа по внедрению Всероссийского физкультурно-спортивного комплекса ГТО.  В этом году проведено 4 районных летних фестиваля ГТО среди учащихся школ и трудовых коллективов.</w:t>
      </w:r>
    </w:p>
    <w:p w:rsid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93F7E" w:rsidSect="00193F7E">
          <w:pgSz w:w="11905" w:h="16838" w:code="9"/>
          <w:pgMar w:top="1134" w:right="1701" w:bottom="1134" w:left="851" w:header="0" w:footer="0" w:gutter="0"/>
          <w:cols w:space="720"/>
        </w:sect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Основные результаты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реализации муниципальной программы,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достигнутые в отчетном году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601"/>
        <w:gridCol w:w="5103"/>
        <w:gridCol w:w="2551"/>
      </w:tblGrid>
      <w:tr w:rsidR="008F791C" w:rsidRPr="00220447" w:rsidTr="008F791C">
        <w:tc>
          <w:tcPr>
            <w:tcW w:w="60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74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8704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5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8F791C" w:rsidRPr="00220447" w:rsidTr="008F791C">
        <w:tc>
          <w:tcPr>
            <w:tcW w:w="60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1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55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91C" w:rsidRPr="00220447" w:rsidTr="008F791C">
        <w:tc>
          <w:tcPr>
            <w:tcW w:w="14737" w:type="dxa"/>
            <w:gridSpan w:val="5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8F791C" w:rsidRPr="00220447" w:rsidTr="008F791C">
        <w:tc>
          <w:tcPr>
            <w:tcW w:w="60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F791C" w:rsidRPr="008F791C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программа</w:t>
            </w:r>
          </w:p>
          <w:p w:rsidR="008F791C" w:rsidRPr="008F791C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Сосновском муниципальном районе </w:t>
            </w:r>
          </w:p>
          <w:p w:rsidR="008F791C" w:rsidRPr="00220447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на 2018 – 2020 гг.»</w:t>
            </w:r>
          </w:p>
        </w:tc>
        <w:tc>
          <w:tcPr>
            <w:tcW w:w="3601" w:type="dxa"/>
          </w:tcPr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потребности в физическом совершенствовании </w:t>
            </w: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8F791C" w:rsidRPr="00220447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  <w:tc>
          <w:tcPr>
            <w:tcW w:w="5103" w:type="dxa"/>
          </w:tcPr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Доля жителей района в возрасте 3-79 лет, систематически занимающихся физической культурой и спортом в общей 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2019-35,83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 в возрасте 3-29 лет, систематически занимающихся физической культурой и спортом в </w:t>
            </w: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2019-81,67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2019-14,17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2019-8,33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2019-38,92</w:t>
            </w:r>
          </w:p>
          <w:p w:rsidR="008F791C" w:rsidRPr="00220447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CD7CD9" w:rsidP="00CD7C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</w:t>
            </w: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систематически занимающихся физической культурой и спортом</w:t>
            </w:r>
          </w:p>
        </w:tc>
      </w:tr>
    </w:tbl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6"/>
      <w:bookmarkEnd w:id="1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программы, подпрограмм, направлений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503"/>
        <w:gridCol w:w="1080"/>
        <w:gridCol w:w="1080"/>
        <w:gridCol w:w="7518"/>
      </w:tblGrid>
      <w:tr w:rsidR="008F791C" w:rsidRPr="00220447" w:rsidTr="008F791C">
        <w:tc>
          <w:tcPr>
            <w:tcW w:w="602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0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5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3" w:type="dxa"/>
            <w:gridSpan w:val="3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751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8F791C" w:rsidRPr="00220447" w:rsidTr="008F791C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отчетному </w:t>
            </w:r>
            <w:hyperlink w:anchor="P44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751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hyperlink w:anchor="P44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51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9" w:type="dxa"/>
            <w:gridSpan w:val="6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района в возрасте 3-79 лет, систематически занимающихся физической культурой и </w:t>
            </w:r>
            <w:r w:rsidRPr="00863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спортом в общей численности  граждан в возрасте 3-79 лет(%):</w:t>
            </w:r>
          </w:p>
        </w:tc>
        <w:tc>
          <w:tcPr>
            <w:tcW w:w="1258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0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9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- Доля детей и молодежи в возрасте 3-29 лет, систематически занимающихся физической культурой и спортом в общей численности  детей и молодежи в возрасте 3-29 лет</w:t>
            </w:r>
          </w:p>
        </w:tc>
        <w:tc>
          <w:tcPr>
            <w:tcW w:w="1258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  <w:tc>
          <w:tcPr>
            <w:tcW w:w="10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района в возрасте (женщины  30-54 года, </w:t>
            </w:r>
            <w:r w:rsidRPr="00E4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30-59 лет),  систематически занимающихся физической культурой и спортом в общей численности  граждан среднего возраста</w:t>
            </w:r>
          </w:p>
        </w:tc>
        <w:tc>
          <w:tcPr>
            <w:tcW w:w="1258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10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7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 старшего возраста (женщины  55-79 лет, мужчины 60-79 лет),  систематически занимающихся физической культурой и спортом в общей </w:t>
            </w:r>
            <w:r w:rsidRPr="000A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граждан старшего возраста </w:t>
            </w:r>
          </w:p>
        </w:tc>
        <w:tc>
          <w:tcPr>
            <w:tcW w:w="1258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 сооружениями, исходя из единовременной пропускной способности объектов спорта</w:t>
            </w:r>
          </w:p>
        </w:tc>
        <w:tc>
          <w:tcPr>
            <w:tcW w:w="1258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Pr="00220447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33"/>
      <w:bookmarkEnd w:id="2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мероприятий муниципальной программы,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реализация которых предусмотрена в отчетном году,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выполненных и не выполненных (с указанием причин)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в установленные сроки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71"/>
        <w:gridCol w:w="1191"/>
        <w:gridCol w:w="1390"/>
        <w:gridCol w:w="1440"/>
        <w:gridCol w:w="1440"/>
        <w:gridCol w:w="1440"/>
        <w:gridCol w:w="1112"/>
        <w:gridCol w:w="1276"/>
        <w:gridCol w:w="1820"/>
      </w:tblGrid>
      <w:tr w:rsidR="008F791C" w:rsidRPr="00220447" w:rsidTr="00EF2869">
        <w:tc>
          <w:tcPr>
            <w:tcW w:w="602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  <w:hyperlink w:anchor="P630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9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388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633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820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</w:tc>
      </w:tr>
      <w:tr w:rsidR="008F791C" w:rsidRPr="00220447" w:rsidTr="00EF2869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11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27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82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EF2869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52"/>
            <w:bookmarkEnd w:id="3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в соревнованиях областной зимней сельской </w:t>
            </w:r>
            <w:r w:rsidRPr="00EF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«Уральская метелица»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в соревнованиях областной летней сельской Олимпиаде «Золотой колос»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112" w:type="dxa"/>
          </w:tcPr>
          <w:p w:rsidR="00EF2869" w:rsidRPr="00220447" w:rsidRDefault="00CD7CD9" w:rsidP="00CD7C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спартакиаду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Провести спартакиаду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050569" w:rsidRPr="00050569" w:rsidRDefault="000505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69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EF2869" w:rsidRPr="00EF2869" w:rsidRDefault="000505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69">
              <w:rPr>
                <w:rFonts w:ascii="Times New Roman" w:hAnsi="Times New Roman" w:cs="Times New Roman"/>
                <w:sz w:val="28"/>
                <w:szCs w:val="28"/>
              </w:rPr>
              <w:t>за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CF68BA" w:rsidRPr="00EF2869" w:rsidRDefault="00050569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6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050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увеличение численности детей, занимающихся в спортивных секциях</w:t>
            </w:r>
          </w:p>
          <w:p w:rsidR="00EF2869" w:rsidRPr="00EF2869" w:rsidRDefault="00EF28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3F3FF3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3F3FF3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зовать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3F3FF3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1" w:type="dxa"/>
          </w:tcPr>
          <w:p w:rsidR="00CF68BA" w:rsidRPr="00CF68BA" w:rsidRDefault="00CF68BA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направлены на увеличение численности систематически</w:t>
            </w:r>
          </w:p>
          <w:p w:rsidR="00EF2869" w:rsidRPr="00220447" w:rsidRDefault="00CF68BA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занимающихся  физической культурой и спортом население занятым в экономике и граждан старшего поколения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F791C" w:rsidRPr="00220447" w:rsidSect="00193F7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37"/>
      <w:bookmarkEnd w:id="4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и иных средств на выполнение мероприятий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2551"/>
        <w:gridCol w:w="993"/>
        <w:gridCol w:w="1134"/>
        <w:gridCol w:w="1731"/>
      </w:tblGrid>
      <w:tr w:rsidR="008F791C" w:rsidRPr="00220447" w:rsidTr="00621EC1">
        <w:tc>
          <w:tcPr>
            <w:tcW w:w="636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5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127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 &lt;*&gt;</w:t>
            </w:r>
          </w:p>
        </w:tc>
        <w:tc>
          <w:tcPr>
            <w:tcW w:w="113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 &lt;**&gt;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791C" w:rsidRPr="00220447" w:rsidTr="00621EC1">
        <w:tc>
          <w:tcPr>
            <w:tcW w:w="636" w:type="dxa"/>
            <w:vMerge w:val="restart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CF68BA" w:rsidRPr="00CF68BA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программа</w:t>
            </w:r>
          </w:p>
          <w:p w:rsidR="00CF68BA" w:rsidRPr="00CF68BA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Сосновском муниципальном районе </w:t>
            </w:r>
          </w:p>
          <w:p w:rsidR="008F791C" w:rsidRPr="00220447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на 2018 – 2020 гг.»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8F791C" w:rsidRPr="00220447" w:rsidRDefault="007A4B6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7130,6</w:t>
            </w:r>
          </w:p>
        </w:tc>
        <w:tc>
          <w:tcPr>
            <w:tcW w:w="1134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</w:tcPr>
          <w:p w:rsidR="008F791C" w:rsidRPr="00220447" w:rsidRDefault="00CF68BA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2 980,6</w:t>
            </w:r>
          </w:p>
        </w:tc>
        <w:tc>
          <w:tcPr>
            <w:tcW w:w="1134" w:type="dxa"/>
          </w:tcPr>
          <w:p w:rsidR="008F791C" w:rsidRPr="00220447" w:rsidRDefault="007A4B6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2980,6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CF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8F791C" w:rsidRPr="00220447" w:rsidRDefault="00CF68BA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4150,0</w:t>
            </w:r>
          </w:p>
        </w:tc>
        <w:tc>
          <w:tcPr>
            <w:tcW w:w="1134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31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2000,0 перенесли на 2020 г. оплата проекта. </w:t>
            </w:r>
          </w:p>
        </w:tc>
      </w:tr>
    </w:tbl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02"/>
      <w:bookmarkEnd w:id="5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о внесенных изменениях в муниципальную программу</w:t>
      </w:r>
    </w:p>
    <w:p w:rsidR="00AA0026" w:rsidRPr="00AA0026" w:rsidRDefault="008F791C" w:rsidP="00AA0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 xml:space="preserve">за </w:t>
      </w:r>
      <w:r w:rsidR="00AA0026">
        <w:rPr>
          <w:rFonts w:ascii="Times New Roman" w:hAnsi="Times New Roman" w:cs="Times New Roman"/>
          <w:sz w:val="28"/>
          <w:szCs w:val="28"/>
        </w:rPr>
        <w:t>2019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 ____ (</w:t>
      </w:r>
      <w:r w:rsidR="00AA0026" w:rsidRPr="00AA0026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Сосновском муниципальном районе </w:t>
      </w:r>
    </w:p>
    <w:p w:rsidR="008F791C" w:rsidRPr="00220447" w:rsidRDefault="00AA0026" w:rsidP="00AA0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026">
        <w:rPr>
          <w:rFonts w:ascii="Times New Roman" w:hAnsi="Times New Roman" w:cs="Times New Roman"/>
          <w:sz w:val="28"/>
          <w:szCs w:val="28"/>
        </w:rPr>
        <w:t>на 2018 – 2020 гг.»</w:t>
      </w:r>
      <w:r w:rsidR="008F791C" w:rsidRPr="00220447">
        <w:rPr>
          <w:rFonts w:ascii="Times New Roman" w:hAnsi="Times New Roman" w:cs="Times New Roman"/>
          <w:sz w:val="28"/>
          <w:szCs w:val="28"/>
        </w:rPr>
        <w:t>)</w:t>
      </w:r>
    </w:p>
    <w:p w:rsidR="008F791C" w:rsidRPr="00220447" w:rsidRDefault="00AA0026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Ю.Г.</w:t>
      </w:r>
      <w:r w:rsidR="008F791C" w:rsidRPr="00220447">
        <w:rPr>
          <w:rFonts w:ascii="Times New Roman" w:hAnsi="Times New Roman" w:cs="Times New Roman"/>
          <w:sz w:val="28"/>
          <w:szCs w:val="28"/>
        </w:rPr>
        <w:t xml:space="preserve"> (ответственный исполнитель)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261"/>
      </w:tblGrid>
      <w:tr w:rsidR="008F791C" w:rsidRPr="00220447" w:rsidTr="00621EC1">
        <w:tc>
          <w:tcPr>
            <w:tcW w:w="560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8F791C" w:rsidRPr="00220447" w:rsidTr="00621EC1">
        <w:tc>
          <w:tcPr>
            <w:tcW w:w="560" w:type="dxa"/>
          </w:tcPr>
          <w:p w:rsidR="008F791C" w:rsidRPr="00220447" w:rsidRDefault="00AA002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8F791C" w:rsidRPr="00220447" w:rsidRDefault="00AA002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№1279 от 04.07.2019</w:t>
            </w:r>
          </w:p>
        </w:tc>
        <w:tc>
          <w:tcPr>
            <w:tcW w:w="2224" w:type="dxa"/>
          </w:tcPr>
          <w:p w:rsidR="008F791C" w:rsidRPr="00220447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финансирования</w:t>
            </w:r>
          </w:p>
        </w:tc>
        <w:tc>
          <w:tcPr>
            <w:tcW w:w="3261" w:type="dxa"/>
          </w:tcPr>
          <w:p w:rsidR="008F791C" w:rsidRPr="00220447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</w:t>
            </w:r>
          </w:p>
        </w:tc>
      </w:tr>
      <w:tr w:rsidR="008632E2" w:rsidRPr="00220447" w:rsidTr="00621EC1">
        <w:tc>
          <w:tcPr>
            <w:tcW w:w="560" w:type="dxa"/>
          </w:tcPr>
          <w:p w:rsidR="008632E2" w:rsidRDefault="008632E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8632E2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24" w:type="dxa"/>
          </w:tcPr>
          <w:p w:rsidR="008632E2" w:rsidRPr="00220447" w:rsidRDefault="008632E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норм расходов</w:t>
            </w:r>
          </w:p>
        </w:tc>
        <w:tc>
          <w:tcPr>
            <w:tcW w:w="3261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Изменение норм расходов</w:t>
            </w:r>
          </w:p>
        </w:tc>
      </w:tr>
      <w:tr w:rsidR="008632E2" w:rsidRPr="00220447" w:rsidTr="00621EC1">
        <w:tc>
          <w:tcPr>
            <w:tcW w:w="560" w:type="dxa"/>
          </w:tcPr>
          <w:p w:rsidR="008632E2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8632E2" w:rsidRDefault="00675B17" w:rsidP="0067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 xml:space="preserve"> от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24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результатов реализации программы</w:t>
            </w:r>
          </w:p>
        </w:tc>
        <w:tc>
          <w:tcPr>
            <w:tcW w:w="3261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Изменения результатов реализации программы</w:t>
            </w:r>
          </w:p>
        </w:tc>
      </w:tr>
      <w:tr w:rsidR="00675B17" w:rsidRPr="00220447" w:rsidTr="00621EC1">
        <w:tc>
          <w:tcPr>
            <w:tcW w:w="560" w:type="dxa"/>
          </w:tcPr>
          <w:p w:rsid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675B17" w:rsidRPr="00675B17" w:rsidRDefault="00675B17" w:rsidP="0067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516 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2224" w:type="dxa"/>
          </w:tcPr>
          <w:p w:rsid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Изменение финансирования</w:t>
            </w:r>
          </w:p>
        </w:tc>
        <w:tc>
          <w:tcPr>
            <w:tcW w:w="3261" w:type="dxa"/>
          </w:tcPr>
          <w:p w:rsidR="00675B17" w:rsidRP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</w:t>
            </w:r>
          </w:p>
        </w:tc>
      </w:tr>
    </w:tbl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E42" w:rsidRPr="00820FDE" w:rsidRDefault="0026237D" w:rsidP="006F7E4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20FDE">
        <w:rPr>
          <w:rFonts w:ascii="Times New Roman" w:hAnsi="Times New Roman" w:cs="Times New Roman"/>
          <w:sz w:val="32"/>
          <w:szCs w:val="32"/>
        </w:rPr>
        <w:t xml:space="preserve">Расчет показателей для проведения оценки эффективности реализации </w:t>
      </w:r>
      <w:r w:rsidR="006F7E42" w:rsidRPr="00820FDE">
        <w:rPr>
          <w:rFonts w:ascii="Times New Roman" w:hAnsi="Times New Roman" w:cs="Times New Roman"/>
          <w:sz w:val="32"/>
          <w:szCs w:val="32"/>
        </w:rPr>
        <w:t xml:space="preserve">муниципальной районной программы  </w:t>
      </w:r>
    </w:p>
    <w:p w:rsidR="0026237D" w:rsidRPr="00820FDE" w:rsidRDefault="006F7E42" w:rsidP="006F7E4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20FDE">
        <w:rPr>
          <w:rFonts w:ascii="Times New Roman" w:hAnsi="Times New Roman" w:cs="Times New Roman"/>
          <w:sz w:val="32"/>
          <w:szCs w:val="32"/>
        </w:rPr>
        <w:t>«Развитие физической культуры и спорта в Сосновском районе на 2018-2020гг.»</w:t>
      </w:r>
    </w:p>
    <w:p w:rsidR="0026237D" w:rsidRPr="00820FDE" w:rsidRDefault="0026237D" w:rsidP="0026237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20FDE">
        <w:rPr>
          <w:rFonts w:ascii="Times New Roman" w:hAnsi="Times New Roman" w:cs="Times New Roman"/>
          <w:sz w:val="32"/>
          <w:szCs w:val="32"/>
        </w:rPr>
        <w:t>за 2019 отчетный год.</w:t>
      </w:r>
    </w:p>
    <w:p w:rsidR="0026237D" w:rsidRPr="00820FDE" w:rsidRDefault="0026237D" w:rsidP="002623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1)</w:t>
      </w:r>
      <w:r w:rsidRPr="0026237D">
        <w:rPr>
          <w:rFonts w:ascii="Times New Roman" w:hAnsi="Times New Roman" w:cs="Times New Roman"/>
          <w:sz w:val="28"/>
          <w:szCs w:val="28"/>
        </w:rPr>
        <w:tab/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/М,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26237D" w:rsidRPr="00820FDE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DE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820FD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8</w:t>
      </w:r>
      <w:r w:rsidRPr="00820FDE">
        <w:rPr>
          <w:rFonts w:ascii="Times New Roman" w:hAnsi="Times New Roman" w:cs="Times New Roman"/>
          <w:b/>
          <w:sz w:val="28"/>
          <w:szCs w:val="28"/>
        </w:rPr>
        <w:t>/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8</w:t>
      </w:r>
      <w:r w:rsidRPr="00820FDE">
        <w:rPr>
          <w:rFonts w:ascii="Times New Roman" w:hAnsi="Times New Roman" w:cs="Times New Roman"/>
          <w:b/>
          <w:sz w:val="28"/>
          <w:szCs w:val="28"/>
        </w:rPr>
        <w:t>=1, что свидетельствует о высокой эффективности реализации мероприятий.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2)</w:t>
      </w:r>
      <w:r w:rsidRPr="0026237D">
        <w:rPr>
          <w:rFonts w:ascii="Times New Roman" w:hAnsi="Times New Roman" w:cs="Times New Roman"/>
          <w:sz w:val="28"/>
          <w:szCs w:val="28"/>
        </w:rPr>
        <w:tab/>
        <w:t xml:space="preserve"> Степень соответствия фактически произведенных затрат </w:t>
      </w:r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запланированному  уровню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FDE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820FD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9F772B">
        <w:rPr>
          <w:rFonts w:ascii="Times New Roman" w:hAnsi="Times New Roman" w:cs="Times New Roman"/>
          <w:b/>
          <w:sz w:val="28"/>
          <w:szCs w:val="28"/>
        </w:rPr>
        <w:t>5</w:t>
      </w:r>
      <w:r w:rsidR="004F40CF" w:rsidRPr="00820FDE">
        <w:rPr>
          <w:rFonts w:ascii="Times New Roman" w:hAnsi="Times New Roman" w:cs="Times New Roman"/>
          <w:b/>
          <w:sz w:val="28"/>
          <w:szCs w:val="28"/>
        </w:rPr>
        <w:t>130,6</w:t>
      </w:r>
      <w:r w:rsidRPr="00820FDE">
        <w:rPr>
          <w:rFonts w:ascii="Times New Roman" w:hAnsi="Times New Roman" w:cs="Times New Roman"/>
          <w:b/>
          <w:sz w:val="28"/>
          <w:szCs w:val="28"/>
        </w:rPr>
        <w:t>/</w:t>
      </w:r>
      <w:r w:rsidR="009F772B">
        <w:rPr>
          <w:rFonts w:ascii="Times New Roman" w:hAnsi="Times New Roman" w:cs="Times New Roman"/>
          <w:b/>
          <w:sz w:val="28"/>
          <w:szCs w:val="28"/>
        </w:rPr>
        <w:t>7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130,6</w:t>
      </w:r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9F772B">
        <w:rPr>
          <w:rFonts w:ascii="Times New Roman" w:hAnsi="Times New Roman" w:cs="Times New Roman"/>
          <w:b/>
          <w:sz w:val="28"/>
          <w:szCs w:val="28"/>
        </w:rPr>
        <w:t>0,7</w:t>
      </w:r>
      <w:r w:rsidRPr="00820FDE">
        <w:rPr>
          <w:rFonts w:ascii="Times New Roman" w:hAnsi="Times New Roman" w:cs="Times New Roman"/>
          <w:b/>
          <w:sz w:val="28"/>
          <w:szCs w:val="28"/>
        </w:rPr>
        <w:t>, что соответствует запланированному уровню расходов</w:t>
      </w:r>
      <w:r w:rsidRPr="0026237D">
        <w:rPr>
          <w:rFonts w:ascii="Times New Roman" w:hAnsi="Times New Roman" w:cs="Times New Roman"/>
          <w:sz w:val="28"/>
          <w:szCs w:val="28"/>
        </w:rPr>
        <w:t>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3)</w:t>
      </w:r>
      <w:r w:rsidRPr="0026237D">
        <w:rPr>
          <w:rFonts w:ascii="Times New Roman" w:hAnsi="Times New Roman" w:cs="Times New Roman"/>
          <w:sz w:val="28"/>
          <w:szCs w:val="28"/>
        </w:rPr>
        <w:tab/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 бюджета;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26237D" w:rsidRPr="004F40CF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CF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4F40CF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4F40CF">
        <w:rPr>
          <w:rFonts w:ascii="Times New Roman" w:hAnsi="Times New Roman" w:cs="Times New Roman"/>
          <w:b/>
          <w:sz w:val="28"/>
          <w:szCs w:val="28"/>
        </w:rPr>
        <w:t>=1/</w:t>
      </w:r>
      <w:r w:rsidR="009F772B">
        <w:rPr>
          <w:rFonts w:ascii="Times New Roman" w:hAnsi="Times New Roman" w:cs="Times New Roman"/>
          <w:b/>
          <w:sz w:val="28"/>
          <w:szCs w:val="28"/>
        </w:rPr>
        <w:t>0,7</w:t>
      </w:r>
      <w:r w:rsidRPr="004F40CF">
        <w:rPr>
          <w:rFonts w:ascii="Times New Roman" w:hAnsi="Times New Roman" w:cs="Times New Roman"/>
          <w:b/>
          <w:sz w:val="28"/>
          <w:szCs w:val="28"/>
        </w:rPr>
        <w:t>=1,</w:t>
      </w:r>
      <w:r w:rsidR="009F772B">
        <w:rPr>
          <w:rFonts w:ascii="Times New Roman" w:hAnsi="Times New Roman" w:cs="Times New Roman"/>
          <w:b/>
          <w:sz w:val="28"/>
          <w:szCs w:val="28"/>
        </w:rPr>
        <w:t>4</w:t>
      </w:r>
      <w:r w:rsidRPr="004F40CF">
        <w:rPr>
          <w:rFonts w:ascii="Times New Roman" w:hAnsi="Times New Roman" w:cs="Times New Roman"/>
          <w:b/>
          <w:sz w:val="28"/>
          <w:szCs w:val="28"/>
        </w:rPr>
        <w:t xml:space="preserve"> что свидетельствует о высокой эффективности реализации мероприятий муниципальной программы.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4)</w:t>
      </w:r>
      <w:r w:rsidRPr="0026237D">
        <w:rPr>
          <w:rFonts w:ascii="Times New Roman" w:hAnsi="Times New Roman" w:cs="Times New Roman"/>
          <w:sz w:val="28"/>
          <w:szCs w:val="28"/>
        </w:rPr>
        <w:tab/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lastRenderedPageBreak/>
        <w:t>для показателей, желаемой тенденцией развития которых является увеличение значений: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 xml:space="preserve">для показателей, желаемой тенденцией развития которых является снижение значений:   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показателя, характеризующего цели и задачи мероприятий муниципальной программы;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цели и задачи муниципальной программы, фактически достигнутое;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=1/1=1;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5)</w:t>
      </w:r>
      <w:r w:rsidRPr="0026237D">
        <w:rPr>
          <w:rFonts w:ascii="Times New Roman" w:hAnsi="Times New Roman" w:cs="Times New Roman"/>
          <w:sz w:val="28"/>
          <w:szCs w:val="28"/>
        </w:rPr>
        <w:tab/>
        <w:t>Степень реализации муниципальной программы рассчитывается по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/ M, где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показателя целей и задач;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 xml:space="preserve">M – число показателей (индикаторов), характеризующих цели </w:t>
      </w:r>
      <w:proofErr w:type="gramStart"/>
      <w:r w:rsidRPr="0026237D">
        <w:rPr>
          <w:rFonts w:ascii="Times New Roman" w:hAnsi="Times New Roman" w:cs="Times New Roman"/>
          <w:sz w:val="28"/>
          <w:szCs w:val="28"/>
        </w:rPr>
        <w:t>и  задачи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F791C" w:rsidRPr="004F40CF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CF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4F40CF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4F40CF">
        <w:rPr>
          <w:rFonts w:ascii="Times New Roman" w:hAnsi="Times New Roman" w:cs="Times New Roman"/>
          <w:b/>
          <w:sz w:val="28"/>
          <w:szCs w:val="28"/>
        </w:rPr>
        <w:t>=</w:t>
      </w:r>
      <w:r w:rsidR="004F40CF" w:rsidRPr="004F40CF">
        <w:rPr>
          <w:rFonts w:ascii="Times New Roman" w:hAnsi="Times New Roman" w:cs="Times New Roman"/>
          <w:b/>
          <w:sz w:val="28"/>
          <w:szCs w:val="28"/>
        </w:rPr>
        <w:t>8</w:t>
      </w:r>
      <w:r w:rsidRPr="004F40CF">
        <w:rPr>
          <w:rFonts w:ascii="Times New Roman" w:hAnsi="Times New Roman" w:cs="Times New Roman"/>
          <w:b/>
          <w:sz w:val="28"/>
          <w:szCs w:val="28"/>
        </w:rPr>
        <w:t>/</w:t>
      </w:r>
      <w:r w:rsidR="004F40CF" w:rsidRPr="004F40CF">
        <w:rPr>
          <w:rFonts w:ascii="Times New Roman" w:hAnsi="Times New Roman" w:cs="Times New Roman"/>
          <w:b/>
          <w:sz w:val="28"/>
          <w:szCs w:val="28"/>
        </w:rPr>
        <w:t>8</w:t>
      </w:r>
      <w:r w:rsidRPr="004F40CF">
        <w:rPr>
          <w:rFonts w:ascii="Times New Roman" w:hAnsi="Times New Roman" w:cs="Times New Roman"/>
          <w:b/>
          <w:sz w:val="28"/>
          <w:szCs w:val="28"/>
        </w:rPr>
        <w:t>=1, что соответствует высокой эффективности реализации муниципальной программы.</w:t>
      </w:r>
    </w:p>
    <w:sectPr w:rsidR="008F791C" w:rsidRPr="004F40CF" w:rsidSect="00621EC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2"/>
    <w:rsid w:val="00050569"/>
    <w:rsid w:val="00072D7C"/>
    <w:rsid w:val="000A76B7"/>
    <w:rsid w:val="00193F7E"/>
    <w:rsid w:val="0026237D"/>
    <w:rsid w:val="002944AB"/>
    <w:rsid w:val="003F3FF3"/>
    <w:rsid w:val="004A79EB"/>
    <w:rsid w:val="004F40CF"/>
    <w:rsid w:val="00621EC1"/>
    <w:rsid w:val="00675B17"/>
    <w:rsid w:val="006F7E42"/>
    <w:rsid w:val="007A4B66"/>
    <w:rsid w:val="007B4FE1"/>
    <w:rsid w:val="007C1230"/>
    <w:rsid w:val="00820FDE"/>
    <w:rsid w:val="008632E2"/>
    <w:rsid w:val="00863994"/>
    <w:rsid w:val="008F791C"/>
    <w:rsid w:val="009F772B"/>
    <w:rsid w:val="00AA0026"/>
    <w:rsid w:val="00B936CD"/>
    <w:rsid w:val="00BB02DC"/>
    <w:rsid w:val="00BF5F67"/>
    <w:rsid w:val="00CD7CD9"/>
    <w:rsid w:val="00CF68BA"/>
    <w:rsid w:val="00E32622"/>
    <w:rsid w:val="00E44A82"/>
    <w:rsid w:val="00EF2869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5466-0C83-4F8F-9CE3-3ABA66C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8F791C"/>
    <w:rPr>
      <w:color w:val="808080"/>
    </w:rPr>
  </w:style>
  <w:style w:type="character" w:styleId="a6">
    <w:name w:val="Strong"/>
    <w:basedOn w:val="a0"/>
    <w:uiPriority w:val="22"/>
    <w:qFormat/>
    <w:rsid w:val="008F791C"/>
    <w:rPr>
      <w:b/>
      <w:bCs/>
    </w:rPr>
  </w:style>
  <w:style w:type="paragraph" w:customStyle="1" w:styleId="rtecenter">
    <w:name w:val="rtecenter"/>
    <w:basedOn w:val="a"/>
    <w:rsid w:val="008F791C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F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l-sport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5384-460E-4CBD-BF0C-62011404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Рауфович Салихов</dc:creator>
  <cp:keywords/>
  <dc:description/>
  <cp:lastModifiedBy>Надежда Михайловна Ахметшина</cp:lastModifiedBy>
  <cp:revision>2</cp:revision>
  <cp:lastPrinted>2020-08-18T07:15:00Z</cp:lastPrinted>
  <dcterms:created xsi:type="dcterms:W3CDTF">2020-09-18T06:33:00Z</dcterms:created>
  <dcterms:modified xsi:type="dcterms:W3CDTF">2020-09-18T06:33:00Z</dcterms:modified>
</cp:coreProperties>
</file>