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977">
        <w:rPr>
          <w:rFonts w:ascii="Times New Roman" w:hAnsi="Times New Roman" w:cs="Times New Roman"/>
          <w:b/>
          <w:sz w:val="24"/>
          <w:szCs w:val="24"/>
        </w:rPr>
        <w:t xml:space="preserve">Замглавы </w:t>
      </w:r>
      <w:proofErr w:type="spellStart"/>
      <w:r w:rsidRPr="00C27977">
        <w:rPr>
          <w:rFonts w:ascii="Times New Roman" w:hAnsi="Times New Roman" w:cs="Times New Roman"/>
          <w:b/>
          <w:sz w:val="24"/>
          <w:szCs w:val="24"/>
        </w:rPr>
        <w:t>Минпромторга</w:t>
      </w:r>
      <w:proofErr w:type="spellEnd"/>
      <w:r w:rsidRPr="00C27977">
        <w:rPr>
          <w:rFonts w:ascii="Times New Roman" w:hAnsi="Times New Roman" w:cs="Times New Roman"/>
          <w:b/>
          <w:sz w:val="24"/>
          <w:szCs w:val="24"/>
        </w:rPr>
        <w:t>: торговля почти преодолела трудности, связанные с последствиями COVID-19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https://ria.ru/20210701/torgovlya-1739338501.html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Данные Росстата показывают, что российская торговля практически преодолела трудности, которые были связаны с периодом ограничений из-за пандемии 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, заявил статс-секретарь, замглавы 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 РФ Виктор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Евтухов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"Оборот розничной торговли по данным Росстата уже третий месяц превышает лучшие показатели первых трех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допандемийных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месяцев 2020 года (исключая декабрь 2020 года, как период, традиционно дающий в статистике показатели на треть большие, чем другие месяцы года)", - отметил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Евтухов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, слова которого привели в пресс-службе министерства.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"Это говорит о том, что российская торговля чувствует себя более уверенно и практически преодолела трудности, связанные с периодом ограничений и частичных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локдаунов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в начале пандемии", - добавил он.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Как ранее сообщил Росстат, оборот розничной торговли в России в мае увеличился в сопоставимых ценах на 27,2% в годовом выражении, в январе-мае - на 10%. В денежном выражении розничные продажи в РФ в мае составили 3,146 триллиона рублей, за пять месяцев - 14,905 триллиона.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По словам замглавы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, еще рано говорить о том, что влияние COVID-19 на торговлю полностью преодолено и в дальнейшем будет незначительным. "Ведь третья волна заболеваемости еще в разгаре, а ей сопутствуют определенные ограничения в ряде регионов. Но в целом статистика дает возможность сделать оптимистичный прогноз для российской торговли и ближайших перспектив ее развития", - заключил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Евтухов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27977">
        <w:rPr>
          <w:rFonts w:ascii="Times New Roman" w:hAnsi="Times New Roman" w:cs="Times New Roman"/>
          <w:b/>
          <w:sz w:val="24"/>
          <w:szCs w:val="24"/>
        </w:rPr>
        <w:t xml:space="preserve">Центробанк свернул часть </w:t>
      </w:r>
      <w:proofErr w:type="spellStart"/>
      <w:r w:rsidRPr="00C27977">
        <w:rPr>
          <w:rFonts w:ascii="Times New Roman" w:hAnsi="Times New Roman" w:cs="Times New Roman"/>
          <w:b/>
          <w:sz w:val="24"/>
          <w:szCs w:val="24"/>
        </w:rPr>
        <w:t>коронавирусных</w:t>
      </w:r>
      <w:proofErr w:type="spellEnd"/>
      <w:r w:rsidRPr="00C27977">
        <w:rPr>
          <w:rFonts w:ascii="Times New Roman" w:hAnsi="Times New Roman" w:cs="Times New Roman"/>
          <w:b/>
          <w:sz w:val="24"/>
          <w:szCs w:val="24"/>
        </w:rPr>
        <w:t xml:space="preserve"> послаблений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https://ria.ru/20210701/poslableniya-1739330177.html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Банк России с 1 июля свернул часть принятых во время пандемии для поддержки кредитных организаций послаблений - к этой дате банки должны в полном объемы сформировать резервы на возможные потери по ссудам, предоставленным россиянам и небольшому бизнесу и реструктурированным из-за пандемии, следует из свободной таблицы мер ЦБ по ограничению последствий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Регулятор весной прошлого года с началом распространения в стране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начал вводить послабления в банковском секторе, которые были направлены на поддержку россиян и предприятий, столкнувшихся со снижением доходов, а также банков. Осенью 2020 года ЦБ начал постепенно сворачивать меры, продлевая некоторые из них.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Так, Банк России несколько раз продлевал рекомендацию кредиторам реструктуризировать ссуды россиян и малого и среднего бизнеса, финансовое положение которых ухудшилось вследствие пандемии, а также не начислять им штрафы за просрочки. При этом на фоне быстрого восстановления экономики регулятор сначала решил отменить данное послабление с июля, но из-за обострения ситуации с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в стране вновь продлил его - теперь до 1 октября.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По данным ЦБ, кредитные организации реструктурировали долги россиян на 940,4 миллиарда рублей, задолженность небольшого бизнеса - на 925,3 миллиарда рублей. При этом регулятор, чтобы поддержать банки на фоне возможного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дорезервирования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проблемных реструктурированных кредитов, смягчил регулирование по выданным до 1 апреля прошлого года необеспеченным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потребкредитам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 Данная мера позволит банкам высвободить 124 миллиарда рублей капитала.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кредитных организаций не будут испытывать каких-либо трудностей в связи с необходимостью сформировать к июлю резервы, поскольку основной объем резервов уже сформирован, считает младший директор по банковским рейтингам агентства "Эксперт РА" Юлия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"Возможны единичные случаи, когда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доформирование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резервов окажет существенное негативное влияние на показатели деятельности банков, но это, скорее, следствие недостаточно консервативной кредитной политики, которая проводилась банками еще до пандемии", - добавила аналитик.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Некоторые послабления для банков продолжают действовать. Так, до октября отложено начало применения норм о порядке резервирования сделок слияния и поглощения, до января - вступление в силу норматива концентрации крупных кредитных рисков. Кроме того, до конца года действуют меры, направленные на облегчение выдачи банками валютных кредитов производителям лекарств и медицинских товаров.</w:t>
      </w:r>
    </w:p>
    <w:p w:rsidR="00CF180F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977">
        <w:rPr>
          <w:rFonts w:ascii="Times New Roman" w:hAnsi="Times New Roman" w:cs="Times New Roman"/>
          <w:b/>
          <w:sz w:val="24"/>
          <w:szCs w:val="24"/>
        </w:rPr>
        <w:t>Мишустин</w:t>
      </w:r>
      <w:proofErr w:type="spellEnd"/>
      <w:r w:rsidRPr="00C27977">
        <w:rPr>
          <w:rFonts w:ascii="Times New Roman" w:hAnsi="Times New Roman" w:cs="Times New Roman"/>
          <w:b/>
          <w:sz w:val="24"/>
          <w:szCs w:val="24"/>
        </w:rPr>
        <w:t xml:space="preserve"> утвердил Положение о госконтроле по защите прав потребителей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https://ria.ru/20210630/mishustin-1739217084.html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Премьер-министр России Михаил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 подписал постановление, которым утвердил Положение о федеральном государственном контроле в области защиты прав потребителей, соответствующий документ опубликован на официальном интернет-портале правовой информации.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Согласно положению, объектами госконтроля является деятельность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, ИП, связанная с соблюдением обязательных требований по продаже товаров, оказанию услуг, "в том числе в части заключения и (или) исполнения договоров с потребителями на предмет выявления в них условий, ущемляющих права потребителей"; также объектами контроля являются товары, работы и услуги индивидуальных предпринимателей и сферы деятельности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Подчеркивается, что госконтроль ведется без проведения плановых контрольных мероприятий.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"При осуществлении государственного контроля (надзора) проводятся следующие виды внеплановых контрольных (надзорных) мероприятий при взаимодействии с контролируемым лицом: контрольная закупка, мониторинговая закупка, выборочный контроль, инспекционный визит, рейдовый осмотр, документарная проверка, выездная проверка. Без взаимодействия с контролируемым лицом проводятся: наблюдение за соблюдением обязательных требований; выездное обследование", - добавляется в положении.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27977">
        <w:rPr>
          <w:rFonts w:ascii="Times New Roman" w:hAnsi="Times New Roman" w:cs="Times New Roman"/>
          <w:b/>
          <w:sz w:val="24"/>
          <w:szCs w:val="24"/>
        </w:rPr>
        <w:t>Профицит региональных бюджетов вырос в два раза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https://iz.ru/1186434/ekaterina-vinogradova/kazennyi-raschet-profitcit-regionalnykh-biudzhetov-vyros-v-dva-raza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Консолидированный региональный бюджет по итогам первого полугодия 2021 года исполнен с профицитом в 419 млрд. Это следует из предварительных данных портала «Электронный бюджет», который проанализировали «Известия». В наибольшем плюсе по итогам шести месяцев оказались Санкт-Петербург, Челябинская область и Красноярский край. Впрочем, выросло и число убыточных субъектов — с 13 до 19. </w:t>
      </w:r>
    </w:p>
    <w:p w:rsidR="00C2797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Совокупный разрыв между доходами и расходами консолидированных бюджетов 19 российских регионов, закончивших полугодие с дефицитом, составил 48 млрд рублей.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Самый большой убыток понесла Республика Башкортостан — ее дефицит составил 8,8 млрд рублей (8% доходов). На втором месте оказалась Якутия, которая ушла </w:t>
      </w:r>
      <w:r w:rsidRPr="00070DE7">
        <w:rPr>
          <w:rFonts w:ascii="Times New Roman" w:hAnsi="Times New Roman" w:cs="Times New Roman"/>
          <w:sz w:val="24"/>
          <w:szCs w:val="24"/>
        </w:rPr>
        <w:lastRenderedPageBreak/>
        <w:t>в минус на 8 млрд (6,6% доходов), на третьем — Ульяновская область (минус 4,8 млрд, или 14%). Немного отстали от нее по размеру дефицита Республика Коми (минус 4,3 млрд, или 9,5%), а также Томская область (минус 4,1 млрд, или 10,7%). В число убыточных также вошли Крым и Севастополь, Удмуртия, Архангельская и Ленинградская области, Тыва, Калмыкия, Ингушетия, Еврейская автономная область.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Впрочем, в общей сложности за полгода поступления во все субъекты превысили 6,9 трлн рублей, а расходы составили 6,48 трлн. Таким образом, в сумме в региональных бюджетах зафиксирован профицит в 419 млрд рублей. Для сравнения: по итогам I квартала профицит составил 246 млрд рублей, а в первом полугодии 2020-го сальдо консолидированного бюджета субъектов и вовсе было отрицательным, уйдя в минус на 213 млрд.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Регионами-лидерами по объему профицита в январе–июне 2021 года стали Санкт-Петербург (плюс 40 млрд, или 11,6% доходов), Челябинская область (28,9 млрд, или 11,6%), а также Красноярский край (26,9 млрд, или 15%). Кроме того, с ощутимым превышением доходов над расходами полугодие завершили Самарская область (23 млрд, или 18%), Сахалинская область (22 млрд, или 23,9%) и Пермский край (21,5 млрд, или 23%).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Тенденция по увеличению совокупного профицита субъектов в основном связана с ростом региональных доходов, отметил старший аналитик группы региональных рейтингов АКРА Максим Паршин. При этом наибольший прирост поступлений отмечен в налогах на совокупный доход, что отчасти связано с сокращением деятельности малого и среднего предпринимательства весной 2020 года. Многие предприятия МСП тогда вынуждены были прекратить работу и, как следствие, платить налоги. Сейчас ситуация нормализовалась, и этот показатель вырос.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В целом, по мнению эксперта, значительный прирост доходов и увеличивающийся профицит позволяют говорить о достаточной устойчивости большинства региональных бюджетов. Кроме того, субъекты получают значительную поддержку из федерального центра: в первом полугодии 2021-го объем безвозмездных поступлений практически не изменился относительно аналогичного периода 2020 года, заключил Максим Паршин.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Если регионы будут устойчиво преодолевать наступающую третью волну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, не будет значительных ограничений, а население начнет активно вакцинироваться, объем налоговых и неналоговых доходов консолидированных бюджетов регионов может составить 10,2–10,8 трлн рублей по итогам года, спрогнозировал директор центра экономики регионов ЦСР Марат Фаттахов. Это превышает плановые значения на 2,6 трлн рублей.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При таком уровне доходов консолидированные бюджеты смогут исполнить большую часть расходных обязательств (плановое значение 2021 года 16 трлн рублей), а с учетом федеральной поддержки в объеме около 5 трлн рублей (в 2020 году она составила 4,1 трлн) в целом можно достичь бездефицитного исполнения, полагает Марат Фаттахов.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27977">
        <w:rPr>
          <w:rFonts w:ascii="Times New Roman" w:hAnsi="Times New Roman" w:cs="Times New Roman"/>
          <w:b/>
          <w:sz w:val="24"/>
          <w:szCs w:val="24"/>
        </w:rPr>
        <w:t>Генпрокуратура РФ создала сайт с данными о проверках организаций и бизнеса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https://iz.ru/1186861/2021-07-01/genprokuratura-rf-sozdala-sait-s-dannymi-o-proverkakh-organizatcii-i-biznesa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2797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Генеральная прокуратура России ввела в эксплуатацию главную информационную систему в сфере контрольно-надзорной деятельности.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Отмечается, что в соответствии с ФЗ от 31 июля 2020 года № 248-ФЗ «О государственном контроле (надзоре) и муниципальном контроле в Российской </w:t>
      </w:r>
      <w:r w:rsidRPr="00070DE7">
        <w:rPr>
          <w:rFonts w:ascii="Times New Roman" w:hAnsi="Times New Roman" w:cs="Times New Roman"/>
          <w:sz w:val="24"/>
          <w:szCs w:val="24"/>
        </w:rPr>
        <w:lastRenderedPageBreak/>
        <w:t>Федерации» Генпрокуратура РФ является оператором федеральной государственной информационной системы «Единый реестр контрольных (надзорных) мероприятий».</w:t>
      </w:r>
    </w:p>
    <w:p w:rsidR="00CF180F" w:rsidRPr="00070DE7" w:rsidRDefault="00CF180F" w:rsidP="00C27977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Система создана для обеспечения гласности контрольной (надзорной) деятельности 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межведомственного обмена информацией. Теперь любой визит проверяющего к бизнесмену возможен лишь после внесения сведений об этом в ЕРКНМ.</w:t>
      </w:r>
      <w:r w:rsidR="00C27977">
        <w:rPr>
          <w:rFonts w:ascii="Times New Roman" w:hAnsi="Times New Roman" w:cs="Times New Roman"/>
          <w:sz w:val="24"/>
          <w:szCs w:val="24"/>
        </w:rPr>
        <w:t xml:space="preserve"> Р</w:t>
      </w:r>
      <w:r w:rsidRPr="00070DE7">
        <w:rPr>
          <w:rFonts w:ascii="Times New Roman" w:hAnsi="Times New Roman" w:cs="Times New Roman"/>
          <w:sz w:val="24"/>
          <w:szCs w:val="24"/>
        </w:rPr>
        <w:t>есурс размещен на сайте proverki.gov.ru, а также доступен по ссылке на едином портале прокуратуры Российской Федерации.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Постановление о формировании и начале работы Единого реестра видов надзора подписал 4 апреля премьер-министр РФ Михаил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 Отмечалось, что сервис будет показывать информацию не только о видах федерального контроля, но и регионального, а также местных подразделений. Кроме того, граждане смогут просмотреть сведения о конкретной деятельности органа, призванного выявлять нарушения нормативно-правового характера.</w:t>
      </w:r>
    </w:p>
    <w:p w:rsidR="00CF180F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Default="00C27977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27977">
        <w:rPr>
          <w:rFonts w:ascii="Times New Roman" w:hAnsi="Times New Roman" w:cs="Times New Roman"/>
          <w:b/>
          <w:sz w:val="24"/>
          <w:szCs w:val="24"/>
        </w:rPr>
        <w:t xml:space="preserve">Рост валового внутреннего продукта (ВВП) России в мае ускорился до 10,9% по сравнению с 10,8% в апреле 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https://iz.ru/1186850/2021-07-01/rost-vvp-rossii-v-mae-uskorilsia-do-109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Об этом сообщается в обзоре «Картина деловой активности. Июль 2021 года», подготовленном Минэкономразвития.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«По оценке Минэкономразвития России, в мае 2021 года восстановление экономики продолжилось. Темпы роста ВВП составили 10,9% в годовом выражении (+10,8% в годовом выражении в апреле). При этом разрыв с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допандемийным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уровнем [IV квартал 2019 года] в мае сократился до –0,3% с исключением сезонности», — отмечается в обзоре.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Также говорится, что основную поддержку ВВП оказывают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несырьевые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отрасли — сельское хозяйство, строительство, обрабатывающая промышленность. По оценке, в данных отраслях выпуск в мае превысил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допандемийный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уровень в среднем на 3% с исключением сезонности.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В министерстве отмечают, что продолжается восстановление показателей потребительской активности. Оборот розничной торговли в мае превысил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допандемийный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уровень на 1,1% с исключением сезонности. Разрыв между объемом платных услуг населению и оборотом общественного питания 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допандемийными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показателями IV квартала 2019 года продолжает сокращаться, оставаясь ниже примерно на 5% с исключением сезонности.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Что касается ситуации на рынке труда, девятый месяц подряд продолжается планомерное снижение уровня безработицы — на –0,3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., до 4,9% от рабочей силы в мае. Численность занятых с исключением сезонного фактора увеличилась на 196,7 тыс. человек. С начала года номинальная заработная плата выросла на 8,6% в годовом выражении, реальная — на 2,9%.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Ранее, 8 июня, в Минэкономразвития спрогнозировали всплеск открытия новых предприятий благодаря мерам поддержки бизнеса. Глава ведомства Максим Решетников заявил, что очередной пакет стимулов — «зонтичные» гарантии от корпорации МСП, переходный налоговый режим для общепита, реформа закона о банкротстве — должен помочь экономике выйти на параметры, которые определены в Национальных целях.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27977" w:rsidRPr="00C27977" w:rsidRDefault="00C27977" w:rsidP="00C27977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C27977">
        <w:rPr>
          <w:rFonts w:ascii="Times New Roman" w:hAnsi="Times New Roman" w:cs="Times New Roman"/>
          <w:b/>
          <w:sz w:val="24"/>
          <w:szCs w:val="24"/>
        </w:rPr>
        <w:t xml:space="preserve">Национальная ассоциация организаторов мероприятий просит не вводить запрет на </w:t>
      </w:r>
      <w:proofErr w:type="spellStart"/>
      <w:r w:rsidRPr="00C27977">
        <w:rPr>
          <w:rFonts w:ascii="Times New Roman" w:hAnsi="Times New Roman" w:cs="Times New Roman"/>
          <w:b/>
          <w:sz w:val="24"/>
          <w:szCs w:val="24"/>
        </w:rPr>
        <w:t>ивенты</w:t>
      </w:r>
      <w:proofErr w:type="spellEnd"/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27977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https://www.kommersant.ru/doc/4879959</w:t>
        </w:r>
      </w:hyperlink>
      <w:r w:rsidR="00C27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Национальная ассоциация организаторов мероприятий (НАОМ; объединяет 90 компаний в 18 регионах РФ) направила обращение Михаилу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Мишустину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с просьбой не запрещать проведение массовых культурных событий. Напомним, с таким предложением во вторник выступила глава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Анна Попова. Речь идет о проекте постановления главного государственного санитарного врача, «в котором указаны требования по соблюдению всех правил в зависимости от эпидемиологической ситуации и уровня заболеваемости в разных субъектах РФ». Она попросила премьер-министра поддержать документ, чтобы он «стал реально действенным» и чтобы с его помощью «сохранять здоровье населения, не допуская такого рода мероприятий в особых условиях эпидемии». Михаил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в ответ предложил настроить на «активную работу» главных санитарных врачей регионов.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В своем обращении члены НАОМ просят правительство «сохранить баланс» между «необходимыми, обоснованными» ограничениями и возможностью проводить мероприятия.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«Событийная отрасль, входящая в состав креативных индустрий, сейчас бьется в конвульсиях. По всей стране в последний момент отменяются концерты, выставки, ярмарки, согласованные соответствующими подразделениями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и локальными властями в регионах, оставляя их организаторов в непомерных долгах. Это серьезно накаляет негативную обстановку в профессиональном сообществе и обществе в целом»,— объясняют позицию авторы письма. Они подчеркивают, что «накопленный опыт, имеющаяся инфраструктура и уже действующая нормативно-регламентная база» позволят компаниям выдерживать «самые строгие стандарты» проведения мероприятий. Члены НАОМ готовы соблюдать «базовые требования»: наличие у участников свидетельства о вакцинации или ПЦР-теста, проведенного не позднее чем за 48 часов до события, а также масочный режим и социальную дистанцию. В качестве примера авторы обращения приводят недавние масштабные события в Санкт-Петербурге: Международный петербургский экономический форум, матчи чемпионата Европы по футболу и праздник выпускников «Алые паруса», на котором в ночь с 25 на 26 июня побывали около 40 тыс. человек.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По словам президента НАОМ Юлии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Жоли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, все коммерческие мероприятия, которые планировались в июле и августе, либо отменены, либо перенесены на осень. При этом ни организаторы, ни заказчики не готовы брать на себя финансовые риски в случае повторного переноса или отмены.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«Участники индустрии выживают по-разному. Лучше всего себя чувствуют, как это ни странно, агентства в регионах, которые традиционно много занимались частными мероприятиями. Кто-то вместо праздничных событий стал проводить похороны»,— говорит “Ъ” Юлия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Жоля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. Те, кто работает с корпоративными заказчиками, по ее словам, чувствуют себя «хуже», так как у многих компаний в этом году вообще не запланированы бюджеты на мероприятия. Организаторы событий с открытой продажей билетов, добавляет она, «находятся в упадке»: так, у организаторов концертов обороты упали на 90%.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“Ъ” уже рассказывал об обращении Ассоциации концертно-театральных и билетных организаций (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КТиБО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) и общественного омбудсмена в сфере организации культурно-массовых мероприятий Ольги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Шпигальских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к главе администрации президента РФ Антону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Вайно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. После того как музыкальный фестиваль «Дикая мята» (должен был пройти в Тульской области с 18 по 20 июня) отменили в ночь перед открытием, они попросили господина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Вайно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разработать систему регламентов, чтобы «полностью исключить возможность внезапных отмен культурных мероприятий». По оценке промоутера Андрея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>, убыток организаторов «Дикой мяты» составил 100 млн руб.</w:t>
      </w:r>
    </w:p>
    <w:p w:rsidR="00CF180F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8356A1" w:rsidRPr="008356A1" w:rsidRDefault="008356A1" w:rsidP="00CF180F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8356A1">
        <w:rPr>
          <w:rFonts w:ascii="Times New Roman" w:hAnsi="Times New Roman" w:cs="Times New Roman"/>
          <w:b/>
          <w:sz w:val="24"/>
          <w:szCs w:val="24"/>
        </w:rPr>
        <w:lastRenderedPageBreak/>
        <w:t>В мае жилищное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6A1">
        <w:rPr>
          <w:rFonts w:ascii="Times New Roman" w:hAnsi="Times New Roman" w:cs="Times New Roman"/>
          <w:b/>
          <w:sz w:val="24"/>
          <w:szCs w:val="24"/>
        </w:rPr>
        <w:t>продолжило расти</w:t>
      </w:r>
    </w:p>
    <w:p w:rsidR="00CF180F" w:rsidRPr="00070DE7" w:rsidRDefault="00256B5A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70741" w:rsidRPr="00907872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https://www.kommersant.ru/doc/4879975</w:t>
        </w:r>
      </w:hyperlink>
      <w:r w:rsidR="0017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 xml:space="preserve">В мае жилищное строительство, по данным Росстата, продолжило расти — ввод домов в эксплуатацию увеличился на 31,3% в годовом выражении, составив 5 млн кв. м. С одной стороны, это объясняется эффектом низкой базы — в мае 2020 года строительство жилья просело почти на 18% (больший провал был зафиксирован только в апреле — 33,4%). С другой, достигнутый показатель превышает и майские значения до </w:t>
      </w:r>
      <w:proofErr w:type="spellStart"/>
      <w:r w:rsidRPr="00070DE7">
        <w:rPr>
          <w:rFonts w:ascii="Times New Roman" w:hAnsi="Times New Roman" w:cs="Times New Roman"/>
          <w:sz w:val="24"/>
          <w:szCs w:val="24"/>
        </w:rPr>
        <w:t>коронакризиса</w:t>
      </w:r>
      <w:proofErr w:type="spellEnd"/>
      <w:r w:rsidRPr="00070DE7">
        <w:rPr>
          <w:rFonts w:ascii="Times New Roman" w:hAnsi="Times New Roman" w:cs="Times New Roman"/>
          <w:sz w:val="24"/>
          <w:szCs w:val="24"/>
        </w:rPr>
        <w:t xml:space="preserve"> (в 2019 году — самом успешном для жилищного строительства — в мае было введено 4,6 млн кв. м).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В целом за январь—май введено 28,8 млн кв. м жилья, что на 28,4% больше, чем годом ранее. В общей массе введенного жилья большая часть приходится на дома, построенные гражданами — 56,6%, или 16,3 млн кв. м. Таким образом, частное домостроение «отыграло» падение 2020 года (тогда было введено 11,5 млн кв. м против 13 млн кв. м за январь—май 2019-го), во многом связанное с приостановкой регистрации недвижимости. В целом доля жилых домов, построенных населением, растет с 2017 года. Среди факторов поддержки в последнее время — программа «Сельская ипотека» под 3% годовых, а также очередное продление дачной «амнистии» в декабре 2020 года.</w:t>
      </w:r>
    </w:p>
    <w:p w:rsidR="00CF180F" w:rsidRPr="00070DE7" w:rsidRDefault="00CF180F" w:rsidP="00CF180F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070DE7">
        <w:rPr>
          <w:rFonts w:ascii="Times New Roman" w:hAnsi="Times New Roman" w:cs="Times New Roman"/>
          <w:sz w:val="24"/>
          <w:szCs w:val="24"/>
        </w:rPr>
        <w:t>Ввод многоквартирного жилья также превысил докризисные значения (12,5 млн кв. м в январе—мае против 10,7 млн кв. м годом ранее и 11,2 млн кв. м в 2019-м). Рост строительства индустриального жилья власти связывали с действующими программами поддержки — субсидирования затрат застройщиков на создание инфраструктуры, а также льготной ипотеки под 6,5%, которая подстегнула темпы запуска новых проектов. Так, в мае прирост составил 26% к прошлогоднему показателю, всего за пять месяцев запущено строительство 14,9 млн кв. м жилья — это на 78% больше, чем за аналогичный период прошлого года. Исходя из такой динамики в правительстве рассчитывают, что годовой ввод жилья достигнет 85 млн кв. м.</w:t>
      </w:r>
    </w:p>
    <w:p w:rsidR="00CF180F" w:rsidRPr="00070DE7" w:rsidRDefault="00CF180F" w:rsidP="008356A1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CF180F" w:rsidRPr="00070DE7" w:rsidSect="00C30B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70DE7"/>
    <w:rsid w:val="0009060B"/>
    <w:rsid w:val="00170741"/>
    <w:rsid w:val="00256B5A"/>
    <w:rsid w:val="005D12C6"/>
    <w:rsid w:val="008356A1"/>
    <w:rsid w:val="00B82E80"/>
    <w:rsid w:val="00C27977"/>
    <w:rsid w:val="00C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D8AC-8290-48F9-A08B-665AE360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0B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0BFD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C27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86861/2021-07-01/genprokuratura-rf-sozdala-sait-s-dannymi-o-proverkakh-organizatcii-i-biznes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z.ru/1186434/ekaterina-vinogradova/kazennyi-raschet-profitcit-regionalnykh-biudzhetov-vyros-v-dva-ra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210630/mishustin-1739217084.html" TargetMode="External"/><Relationship Id="rId11" Type="http://schemas.openxmlformats.org/officeDocument/2006/relationships/hyperlink" Target="https://www.kommersant.ru/doc/4879975" TargetMode="External"/><Relationship Id="rId5" Type="http://schemas.openxmlformats.org/officeDocument/2006/relationships/hyperlink" Target="https://ria.ru/20210701/poslableniya-1739330177.html" TargetMode="External"/><Relationship Id="rId10" Type="http://schemas.openxmlformats.org/officeDocument/2006/relationships/hyperlink" Target="https://www.kommersant.ru/doc/4879959" TargetMode="External"/><Relationship Id="rId4" Type="http://schemas.openxmlformats.org/officeDocument/2006/relationships/hyperlink" Target="https://ria.ru/20210701/torgovlya-1739338501.html" TargetMode="External"/><Relationship Id="rId9" Type="http://schemas.openxmlformats.org/officeDocument/2006/relationships/hyperlink" Target="https://iz.ru/1186850/2021-07-01/rost-vvp-rossii-v-mae-uskorilsia-do-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2021-07-12T04:00:00Z</dcterms:created>
  <dcterms:modified xsi:type="dcterms:W3CDTF">2021-07-12T04:00:00Z</dcterms:modified>
</cp:coreProperties>
</file>