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F0" w:rsidRPr="006640F0" w:rsidRDefault="006640F0" w:rsidP="006640F0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40F0">
        <w:rPr>
          <w:rFonts w:ascii="Times New Roman" w:hAnsi="Times New Roman" w:cs="Times New Roman"/>
          <w:b/>
          <w:sz w:val="24"/>
          <w:szCs w:val="24"/>
        </w:rPr>
        <w:t>Минфин доработает проект накопительной пенсионной системы</w:t>
      </w:r>
    </w:p>
    <w:p w:rsidR="008226EE" w:rsidRPr="00777916" w:rsidRDefault="006C25D6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640F0" w:rsidRPr="00E24BC3">
          <w:rPr>
            <w:rStyle w:val="a5"/>
            <w:rFonts w:ascii="Times New Roman" w:hAnsi="Times New Roman" w:cs="Times New Roman"/>
            <w:sz w:val="24"/>
            <w:szCs w:val="24"/>
          </w:rPr>
          <w:t>https://www.gazeta.ru/business/2021/02/18/13483892.shtml</w:t>
        </w:r>
      </w:hyperlink>
      <w:r w:rsidR="0066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На официальном сайте Минфина появилась информация о доработке и внесении в Госдуму законопроекта о добровольных пенсионных накоплениях россиян.</w:t>
      </w:r>
    </w:p>
    <w:p w:rsidR="008226EE" w:rsidRPr="00777916" w:rsidRDefault="008226EE" w:rsidP="005B2E8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Сформулирован в общих чертах формат участия государства в этой инициативе. Предполагается, что добровольную пенсию будет предложено формировать в «системе негосударственного пенсионного обеспечения при стимулирующей поддержке государства».</w:t>
      </w:r>
      <w:r w:rsidR="005B2E8C" w:rsidRPr="0077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У этого анонса есть сноска —</w:t>
      </w:r>
      <w:r w:rsidR="005B2E8C">
        <w:rPr>
          <w:rFonts w:ascii="Times New Roman" w:hAnsi="Times New Roman" w:cs="Times New Roman"/>
          <w:sz w:val="24"/>
          <w:szCs w:val="24"/>
        </w:rPr>
        <w:t xml:space="preserve"> </w:t>
      </w:r>
      <w:r w:rsidRPr="00777916">
        <w:rPr>
          <w:rFonts w:ascii="Times New Roman" w:hAnsi="Times New Roman" w:cs="Times New Roman"/>
          <w:sz w:val="24"/>
          <w:szCs w:val="24"/>
        </w:rPr>
        <w:t>законопроект будет разрабатываться под грифом «секретно». Все остальные законопроекты на текущий год такой сноски не имеют, то есть будут предложены обществу публично до внесения документа на рассмотрение в парламент.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Экспертов, опрошенных «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Газетой.Ru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>», не удивляет секретный стиль работы Минфина. «Любые изменения внутри системы пенсионных гарантий должны быть максимально прозрачными. Реформирование пенсионной системы затянулось, она малопонятна и совсем непредсказуема. Так быть не должно», — говорит аналитик компании «Альпари» Анна Бодрова.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Что касается публичности обсуждения таких масштабных нововведений, то тут двух мнений быть не может, согласен член экспертного совета по эффективности управления и производительности труда при комитете Госдумы Николай Калмыков. «Необходимо привлечь к обсуждению законопроекта профсоюзы, политиков, ученых. Но, видимо, Минфин пока не проработал все варианты решения, а популизмом заниматься не хочет», — говорит Калмыков.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Эксперты объясняют повышенную секретность, связанную с этим законопроектом, его политизацией. На это указывает дата внесения законопроекта в Госдуму – 15 декабря 2021 года. То есть после подведения итогов парламентских выборов, запланированных на сентябрь.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Планы о разработке новой добровольной накопительной схемы Минфин обнародовал еще в 2016 году. Был разработан вариант введения так называемого индивидуального пенсионного плана. Позднее этот механизм был доработан и стал называться «гарантированный пенсионный план» (ГПП).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Его суть в том, чтобы наряду с действующей пенсионной системой ввести добровольный порядок накоплений на старость.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Государство при этом гарантировало бы сохранность долгосрочных накоплений на специальных счетах и предоставило бы налоговые льготы для работодателей, которые присоединились бы к этой системе. Сами граждане, будущие пенсионеры, решившие копить самостоятельно, получили бы налоговые вычеты.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Позднее, уже в 2020-м, идея с ГПП была еще раз трансформирована (на уровне идеи). Гражданам предлагалось открывать так называемый индивидуальный инвестиционный счет третьего типа (ИИС-3). Деньгами на этом счете мог бы управлять, накапливая капитал к пенсии, профессиональный брокер.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Между тем замминистра финансов Алексей Моисеев еще в январе 2020 года заявлял, что законопроект о гарантированном пенсионном плане могут провести через первое чтение в Госдуме «ближе к середине июля». Но с тех пор эта законодательная инициатива так и не дошла до обсуждения в нижней палате парламента.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Тем не менее эксперты уже различают контуры грядущих новаций, исходя из новой формулировки названия законопроекта. При этом они настроены скептически, рассуждая о перспективах принятия законопроекта о ГПП. «Россия пока не имеет возможности сформировать полноценную добровольную накопительную пенсионную систему. То, о чем идет речь, — это уже не первая попытка сформировать хоть какие-то инструменты для пенсионных накоплений, дополнительных к государственному пенсионному страхованию. При этом об отмене государственной системы пенсионного </w:t>
      </w:r>
      <w:r w:rsidRPr="00777916">
        <w:rPr>
          <w:rFonts w:ascii="Times New Roman" w:hAnsi="Times New Roman" w:cs="Times New Roman"/>
          <w:sz w:val="24"/>
          <w:szCs w:val="24"/>
        </w:rPr>
        <w:lastRenderedPageBreak/>
        <w:t>страхования, фактически действующей на солидарных принципах, речи не идет, ведь как-то нужно выплачивать пенсии нынешним пенсионерам», — говорит аналитик Института комплексных стратегических исследований Елена Киселева.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Попытки внедрения добровольных пенсионных накоплений буксуют по нескольким причинам, отмечают эксперты.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Во-первых, доверие населения к пенсионной системе крайне низкое.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«Правила игры» постоянно меняются, и не в пользу людей. В частности, с 2014 года заморожены средства накопительной части пенсии, идет поэтапное повышение пенсионного возраста и требований к минимально необходимому трудовому стажу», — перечисляет эксперт ИКСИ Киселева.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Государство могло бы предложить модернизированную систему пенсий в том виде, в каком она действует в Чили, — систему, основанную на паевых фондах, а не с участием негосударственных пенсионных фондах, которые плохо проявили себя в деле накопления пенсий, отмечает профессор Школы финансов НИУ ВШЭ Александр Абрамов. «Мое предположение — эта инициатива сегодня просто не может быть реализована, по крайней мере в том виде, в котором Минфин представил ее год назад в виде гарантированного пенсионного плана», — подчеркивает Абрамов.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Во-вторых, как считает эксперт, усилия Минфина по разработке дополнительной пенсии рассчитаны фактически на 6-7 млн более или менее состоятельных россиян, которые могут себе позволить откладывать на пенсию. «Важнее то решение, которое будет распространяться на 60-65 млн граждан, а это предполагает модификацию обязательной накопительной системы, действующей сейчас», — добавляет профессор ВШЭ.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Уровень жизни большей части населения таков, что не позволяет инвестировать в будущую пенсию, согласна Киселева из ИКСИ. «Тем более, что последние 10 лет доходы населения практически не растут, а в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пандемийный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год реальные доходы снизились на 3%. Люди заняты текущим выживанием и растягивают деньги от зарплаты до зарплаты», — обращает внимание Киселева.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Она уверена, что правительство не сможет добиться массовости при добровольном порядке пенсионных накоплений даже при введении государством налоговых льгот и других преференций для тех, кто решит копить самостоятельно.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«А принудительные механизмы пенсионных накоплений могут спровоцировать рост неформальной занятости, уход в тень и другие негативные процессы», — заключает Киселева из ИКСИ.</w:t>
      </w:r>
    </w:p>
    <w:p w:rsidR="005B2E8C" w:rsidRDefault="005B2E8C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B2E8C" w:rsidRDefault="005B2E8C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B2E8C" w:rsidRPr="005B2E8C" w:rsidRDefault="005B2E8C" w:rsidP="005B2E8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5B2E8C">
        <w:rPr>
          <w:rFonts w:ascii="Times New Roman" w:hAnsi="Times New Roman" w:cs="Times New Roman"/>
          <w:b/>
          <w:sz w:val="24"/>
          <w:szCs w:val="24"/>
        </w:rPr>
        <w:t>Финансовая поддержка регионов поставила исторический рекорд: в 2020 году субъекты получили помощь из федерального бюджета на 3,8 трлн</w:t>
      </w:r>
    </w:p>
    <w:p w:rsidR="008226EE" w:rsidRPr="00777916" w:rsidRDefault="006C25D6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2E8C" w:rsidRPr="00E24BC3">
          <w:rPr>
            <w:rStyle w:val="a5"/>
            <w:rFonts w:ascii="Times New Roman" w:hAnsi="Times New Roman" w:cs="Times New Roman"/>
            <w:sz w:val="24"/>
            <w:szCs w:val="24"/>
          </w:rPr>
          <w:t>https://iz.ru/1126723/iuliia-tcerekh-dmitrii-grinkevich/vse-rublem-finansovaia-podderzhka-regionov-postavila-istoricheskii-rekord</w:t>
        </w:r>
      </w:hyperlink>
      <w:r w:rsidR="005B2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Поддержка из федеральной казны избавила регионы от катастрофического дефицита. Сумма помощи бюджетам субъектов в прошлом году поставила рекорд: Минфин перечислил им 3,8 трлн рублей. Это на 1,3 трлн, или на 54%, больше, чем в 2019-м.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Несмотря на поддержку, региональный дефицит в прошлом году также был рекордным — минус 0,7 трлн рублей. Без учета трансфертов из федерального бюджета разрыв в региональных финансах превысил бы 2 трлн рублей. Это около 20% от собственных доходов субъектов.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Впрочем, 54% дефицита пришлось на шесть регионов. Лидер по этому показателю — Москва. Ее дефицит составил 137 млрд рублей, или 20% от общей суммы регионального «минуса», подсчитали в АКРА. Вслед за столицей идут Московская (-85 </w:t>
      </w:r>
      <w:r w:rsidRPr="00777916">
        <w:rPr>
          <w:rFonts w:ascii="Times New Roman" w:hAnsi="Times New Roman" w:cs="Times New Roman"/>
          <w:sz w:val="24"/>
          <w:szCs w:val="24"/>
        </w:rPr>
        <w:lastRenderedPageBreak/>
        <w:t>млрд рублей), Кемеровская (-41 млрд), Тюменская (-41 млрд) области, Санкт-Петербург (-40 млрд) и Республика Башкортостан (-40 млрд).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Рекордный дефицит связан не столько с падением доходов, сколько с возросшими расходами субъектов. Затраты региональных бюджетов в 2020 году увеличились на 17%, или на 2 трлн рублей, по сравнению с 2019-м и составили 14 трлн. 83% прироста расходов пришлось на социально ориентированные разделы бюджета: здравоохранение (+71%, или 830 млрд рублей), социальная политика (+24%, или 636 млрд) и образование (+8%, или 200 млрд).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Прирост сопоставим с 2019 годом. Тогда показатель увеличился на 15%, что в основном было связано с увеличением инвестиций в нацпроекты. В 2019-м был зафиксирован и предыдущий рекорд по суммам поддержки регионов из федерального бюджета. Тогда объем помощи составил 2,5 трлн рублей, что также было связано с переходом реализации нацпроектов в активную фазу.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Собственные доходы субъектов — прежде всего это налог на прибыль и НДФЛ — сократились незначительно: на 2%, или на 234 млрд рублей. Наибольшее снижение относительно уровней 2019 года произошло в апреле (на 30% месяц к месяцу) и в мае (на 21%). Однако уже в июне собственные доходы превысили показатель аналогичного месяца 2019-го на 4%. С этого момента и до конца года поступления в целом продолжали расти.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Неравномерная ситуация по регионам — особенность нашей страны, которая обычно сглаживалась благодаря регулярной финансовой помощи, отметил директор Центра региональной политики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Владимир Климанов. Интерес представляет рост большей части налоговых доходов — прежде всего имущественных и НДФЛ. В 2021 году расходы уже не будут столь высокими, в частности, не потребуется столь массированная поддержка здравоохранения, медицины и бизнеса, уверен эксперт.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Восстановление на сырьевых рынках позволит значительно сократить совокупный разрыв региональных бюджетов в 2021 году, предположил эксперт группы региональных рейтингов АКРА Максим Першин. Однако число дефицитных субъектов в 2021 году едва ли существенно уменьшится (в 2020-м их было 58 из 85), добавил он. Им потребуется изыскивать дополнительные ресурсы для финансирования национальных проектов и развития экономики. Хотя значительная часть этих расходов будет просубсидирована из федерального бюджета, довольно серьезные суммы регионам придется найти самим.</w:t>
      </w:r>
    </w:p>
    <w:p w:rsidR="008226EE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B4136" w:rsidRPr="006B4136" w:rsidRDefault="006B4136" w:rsidP="006B4136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6B4136">
        <w:rPr>
          <w:rFonts w:ascii="Times New Roman" w:hAnsi="Times New Roman" w:cs="Times New Roman"/>
          <w:b/>
          <w:sz w:val="24"/>
          <w:szCs w:val="24"/>
        </w:rPr>
        <w:t>Бизнесу могут разрешить регистрацию без офиса. Привязанный к географическим объектам юридический адрес заменят электронной почтой</w:t>
      </w:r>
    </w:p>
    <w:p w:rsidR="008226EE" w:rsidRPr="00777916" w:rsidRDefault="006C25D6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B4136" w:rsidRPr="00E24BC3">
          <w:rPr>
            <w:rStyle w:val="a5"/>
            <w:rFonts w:ascii="Times New Roman" w:hAnsi="Times New Roman" w:cs="Times New Roman"/>
            <w:sz w:val="24"/>
            <w:szCs w:val="24"/>
          </w:rPr>
          <w:t>https://iz.ru/1125995/ekaterina-vinogradova-dmitrii-grinkevich/ne-dom-i-ne-ulitca-biznesu-mogut-razreshit-registratciiu-bez-ofisa</w:t>
        </w:r>
      </w:hyperlink>
      <w:r w:rsidR="006B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3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Российские компании могут получить возможность отказаться от официального физического адреса регистрации в пользу электронной почты. Такую инициативу в настоящее время прорабатывают Корпорация МСП, Минэкономразвития, Минфин и ФНС</w:t>
      </w:r>
      <w:r w:rsidR="006B4136">
        <w:rPr>
          <w:rFonts w:ascii="Times New Roman" w:hAnsi="Times New Roman" w:cs="Times New Roman"/>
          <w:sz w:val="24"/>
          <w:szCs w:val="24"/>
        </w:rPr>
        <w:t>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Впервые с инициативой разрешить компаниям регистрироваться без офиса в 2018 году вышел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Минэк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>, он даже разрабатывал соответствующий законопроект. Предлагалось, что в качестве адреса можно будет указать ближайшее почтовое отделение, а регистрация будет проходить онлайн и без пошлин. По замыслу ведомства, нововведение должно было снизить издержки бизнеса на аренду. Особенно выиграли бы от этого предприниматели в сфере информационных технологий, которым офисы не требуются.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Тогда инициатива не была реализована, но три года спустя власти решили к ней вернуться. Так, Андрей Белоусов дал поручение Корпорации МСП, </w:t>
      </w:r>
      <w:r w:rsidRPr="00777916">
        <w:rPr>
          <w:rFonts w:ascii="Times New Roman" w:hAnsi="Times New Roman" w:cs="Times New Roman"/>
          <w:sz w:val="24"/>
          <w:szCs w:val="24"/>
        </w:rPr>
        <w:lastRenderedPageBreak/>
        <w:t xml:space="preserve">Минэкономразвития, Минфину и ФНС проработать вопрос введения электронного адреса регистрации предприятий — так называемого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ID — для получения юридически значимых уведомлений. Выполнить задание необходимо до 1 марта, следует из протокола совещания в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кабмине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>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Как пояснил «Известиям» близкий к правительству источник, в этот раз речь идет о замене юридического адреса регистрации компании, указанного в ЕГРЮЛ, на электронный. Власти задумались об этом на фоне массового перехода компаний на удаленную работу из-за пандемии: в таких условиях требование об обязательном наличии официального адреса, привязанного к географическому объекту, выглядит анахронизмом, отметил он.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Обязательные уведомления, как, например, сообщения контрольно-надзорных органов, ФНС, Росстата, претензии от контрагентов, вполне могут приходить и на электронную почту. Вести базу таких адресов, скорее всего, будет ФНС, а целевой аудиторией нововведения станут компании, работающие удаленно и не привязанные к физической инфраструктуре. Впрочем, со временем опция станет доступной бизнесам всех размеров и отраслей, сообщил он.</w:t>
      </w:r>
    </w:p>
    <w:p w:rsidR="008226EE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B4136" w:rsidRPr="006B4136" w:rsidRDefault="006B4136" w:rsidP="006B4136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6B4136">
        <w:rPr>
          <w:rFonts w:ascii="Times New Roman" w:hAnsi="Times New Roman" w:cs="Times New Roman"/>
          <w:b/>
          <w:sz w:val="24"/>
          <w:szCs w:val="24"/>
        </w:rPr>
        <w:t xml:space="preserve">Глава ФАС Максим </w:t>
      </w:r>
      <w:proofErr w:type="spellStart"/>
      <w:r w:rsidRPr="006B4136">
        <w:rPr>
          <w:rFonts w:ascii="Times New Roman" w:hAnsi="Times New Roman" w:cs="Times New Roman"/>
          <w:b/>
          <w:sz w:val="24"/>
          <w:szCs w:val="24"/>
        </w:rPr>
        <w:t>Шаскольский</w:t>
      </w:r>
      <w:proofErr w:type="spellEnd"/>
      <w:r w:rsidRPr="006B4136">
        <w:rPr>
          <w:rFonts w:ascii="Times New Roman" w:hAnsi="Times New Roman" w:cs="Times New Roman"/>
          <w:b/>
          <w:sz w:val="24"/>
          <w:szCs w:val="24"/>
        </w:rPr>
        <w:t xml:space="preserve"> пообещал перенастроить работу службы на поддержку конкуренции</w:t>
      </w:r>
    </w:p>
    <w:p w:rsidR="008226EE" w:rsidRPr="00777916" w:rsidRDefault="006C25D6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B4136" w:rsidRPr="00E24BC3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https://www.kommersant.ru/doc/4694961?from=main_10</w:t>
        </w:r>
      </w:hyperlink>
      <w:r w:rsidR="006B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36" w:rsidRDefault="008226EE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Вступивший в ноябре 2020 года в должность главы ФАС Максим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Шаскольский</w:t>
      </w:r>
      <w:proofErr w:type="spellEnd"/>
      <w:r w:rsidR="006B4136">
        <w:rPr>
          <w:rFonts w:ascii="Times New Roman" w:hAnsi="Times New Roman" w:cs="Times New Roman"/>
          <w:sz w:val="24"/>
          <w:szCs w:val="24"/>
        </w:rPr>
        <w:t>, в</w:t>
      </w:r>
      <w:r w:rsidR="006B4136" w:rsidRPr="00777916">
        <w:rPr>
          <w:rFonts w:ascii="Times New Roman" w:hAnsi="Times New Roman" w:cs="Times New Roman"/>
          <w:sz w:val="24"/>
          <w:szCs w:val="24"/>
        </w:rPr>
        <w:t xml:space="preserve">ыступая вчера на Антимонопольном форуме, </w:t>
      </w:r>
      <w:r w:rsidRPr="00777916">
        <w:rPr>
          <w:rFonts w:ascii="Times New Roman" w:hAnsi="Times New Roman" w:cs="Times New Roman"/>
          <w:sz w:val="24"/>
          <w:szCs w:val="24"/>
        </w:rPr>
        <w:t xml:space="preserve">впервые обозначил новые приоритеты работы службы. </w:t>
      </w:r>
    </w:p>
    <w:p w:rsidR="008226EE" w:rsidRPr="00777916" w:rsidRDefault="008226EE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Чиновник анонсировал масштабные изменения в политике ФАС, главным из которых станет отказ от карательного подхода и переориентация от наказаний за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антиконкурентные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действия на обеспечение экономического роста. «Я думаю, что мы больше будем способствовать привлечению инвестиций, созданию новых рабочих мест, экономическому росту и созданию понятных, прозрачных и долгосрочных условий, чтобы было равновесие интересов покупателей, производителей и защита интересов тех, кто нуждается в такой защите»,— пояснил он.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Вчера господин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Шаскольский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де-факто признал неэффективной «палочную» систему, которую годами выстраивала антимонопольная служба.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Поступления от штрафов не оказывают значимого влияния на бюджет, а зачастую их даже не удается взыскать, экономика же из-за карательного уклона фактически недополучает инвестиции. Альтернативу в ведомстве видят во внедрении в частных компаниях системы антимонопольного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>, которая предупреждала бы нарушения. Отметим, что механизм заработал с марта 2020 года (его уже применяют РУСАЛ, «СИБУР Холдинг», «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» и др.), новое руководство ФАС рассчитывает расширить его применение — в частности, разъяснять компаниям преимущества и порядок применения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>. Пока барьером остается мнение компаний о дороговизне такой системы.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Кроме того, как рассказали “Ъ” в службе, ФАС в рамках поправок к спорному антикартельному пакету «исключит положения, которые фактически наделяли ведомство функциями правоохранительных органов». Речь идет в том числе о праве проводить выемки и изъятия документов при проверках, и доступе ФАС к результатам оперативно-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деятельности — против этой инициативы, напомним, совместно выступили силовые ведомства, юристы и крупные компании.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Созданию предсказуемых условий для бизнеса призвана будет тарифная политика ФАС. Ключевым в ней, по словам Максима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Шаскольского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>, будет ориентация на долгосрочные тарифы.</w:t>
      </w:r>
    </w:p>
    <w:p w:rsidR="008226EE" w:rsidRDefault="008226EE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lastRenderedPageBreak/>
        <w:t xml:space="preserve">Этому будут способствовать принятое ранее решение об обязательных долгосрочных тарифах в электроэнергетике с 2023 года, а также масштабирование применения метода эталонов в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тарифообразовании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и механизма регуляторных контрактов (компании берут обязательства по развитию инфраструктуры, а регионы — по установлению долгосрочных тарифов и их индексации). Предполагается, что в совокупности это позволит компаниям планировать свои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инвестпрограммы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 xml:space="preserve"> на долгосрочный период и даст им ясные ориентиры, каких изменений ждать в тарифной сфере в будущем. </w:t>
      </w:r>
    </w:p>
    <w:p w:rsidR="006B4136" w:rsidRDefault="006B4136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8226EE" w:rsidRPr="00777916" w:rsidRDefault="008226EE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B4136" w:rsidRPr="006B4136" w:rsidRDefault="006B4136" w:rsidP="006B4136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6B4136">
        <w:rPr>
          <w:rFonts w:ascii="Times New Roman" w:hAnsi="Times New Roman" w:cs="Times New Roman"/>
          <w:b/>
          <w:sz w:val="24"/>
          <w:szCs w:val="24"/>
        </w:rPr>
        <w:t>Верховный суд РФ (ВС) представил проект постановления пленума о применении законодательства в сфере защиты конкуренции</w:t>
      </w:r>
    </w:p>
    <w:p w:rsidR="008226EE" w:rsidRPr="00777916" w:rsidRDefault="006C25D6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4136" w:rsidRPr="00E24BC3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https://www.kommersant.ru/doc/4694941?from=four_economic</w:t>
        </w:r>
      </w:hyperlink>
      <w:r w:rsidR="006B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Пленум ВС 18 февраля обсудил проект постановления, посвященный правоотношениям в области защиты конкуренции. Объемный документ регулирует как общие вопросы о нормативных актах и круге лиц, в отношении которых они применяются, так и ряд острых моментов, по которым у бизнеса часто возникают споры с ФАС.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Наиболее важные положения проекта касаются широко распространенного в российской практике злоупотребления доминирующим положением. ВС поясняет, что ФАС обязана доказать факт такого злоупотребления в одной из форм, поименованных в законе: недопущение, ограничение, устранение конкуренции на товарных рынках либо причинение вреда иным участникам рынка, включая извлечение необоснованной (монопольной) выгоды.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Подозреваемый вправе доказывать, что его поведение «не способно привести к наступлению неблагоприятных последствий для конкуренции на рынке или имеет разумное оправдание», в частности, является «экономически выгодным для контрагентов». При этом нарушение требований законодательства при заключении и исполнении договоров (включая недобросовестное поведение) само по себе не свидетельствует о ведении лицом монополистической деятельности.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Вместе с тем к злоупотреблениям доминирующим положением могут быть отнесены и действия, которые не причиняют вреда контрагентам непосредственно, но могут повлечь неблагоприятные последствия для состояния конкуренции на рынке.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Например, к таким действиям может относиться условие в договоре о приобретении именно у этого лица существенной части закупаемых товаров, а также прекращение реализации товара (или уклонение от заключения договора о реализации) определенным покупателям или их группе.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Другой важный раздел посвящен ограничивающим конкуренцию соглашениям (картелям) и согласованным действиям. Картели — одна из самых больных тем в этой сфере, отмечают юристы. «Наибольшее число картелей выявляется на торгах исходя из оценки поведения участников, а не в результате обнаружения непосредственного соглашения между ними. Поэтому правильная квалификация судами таких действий становится крайне важной»,— поясняет Николай Вознесенский.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В документе отмечается, что само по себе взаимодействие хозяйствующих субъектов к общей выгоде, объединение их усилий, взаимное согласование и совместное осуществление действий по гражданско-правовому договору, а также участие в решении общих проблем рынка не запрещены. Они попадают под запрет, если «направлены на монополизацию» и «недопущение соперничества», даже если они не оформлены письменно.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Установить такое соглашение можно исходя из общего плана поведения, «единой противоправной цели», позволяющей извлечь выгоду из ограничения, недопущения или устранения конкуренции на рынке.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lastRenderedPageBreak/>
        <w:t xml:space="preserve">В то же время схожесть поведения нескольких лиц сама по себе не свидетельствует о наличии соглашения, суды должны учитывать, имелись ли иные причины, говорится в проекте. ВС подчеркивает, что добросовестность хозяйствующих субъектов </w:t>
      </w:r>
      <w:proofErr w:type="spellStart"/>
      <w:r w:rsidRPr="00777916">
        <w:rPr>
          <w:rFonts w:ascii="Times New Roman" w:hAnsi="Times New Roman" w:cs="Times New Roman"/>
          <w:sz w:val="24"/>
          <w:szCs w:val="24"/>
        </w:rPr>
        <w:t>презюмируется</w:t>
      </w:r>
      <w:proofErr w:type="spellEnd"/>
      <w:r w:rsidRPr="00777916">
        <w:rPr>
          <w:rFonts w:ascii="Times New Roman" w:hAnsi="Times New Roman" w:cs="Times New Roman"/>
          <w:sz w:val="24"/>
          <w:szCs w:val="24"/>
        </w:rPr>
        <w:t>, а обязанность доказать факт соглашения и состав его участников возлагается на ФАС.</w:t>
      </w: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Согласно проекту, нельзя наказать за ограничение конкуренции в случае, если договоренности лиц касаются рынков, которых пока не существует. «Это положение поможет избежать привлечения хозяйствующих субъектов к необоснованной ответственности и, безусловно, является весомым шагом в справедливое и соразмерное правовое будущее конкуренции и экономики»,— указывает заместитель директора Института конкурентной политики и регулирования рынков НИУ ВШЭ Олег Москвитин.</w:t>
      </w:r>
    </w:p>
    <w:p w:rsidR="006B413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Не любое нарушение на торгах — это картельный сговор, уточняется в проекте.</w:t>
      </w:r>
      <w:r w:rsidR="006B4136">
        <w:rPr>
          <w:rFonts w:ascii="Times New Roman" w:hAnsi="Times New Roman" w:cs="Times New Roman"/>
          <w:sz w:val="24"/>
          <w:szCs w:val="24"/>
        </w:rPr>
        <w:t xml:space="preserve"> </w:t>
      </w:r>
      <w:r w:rsidRPr="00777916">
        <w:rPr>
          <w:rFonts w:ascii="Times New Roman" w:hAnsi="Times New Roman" w:cs="Times New Roman"/>
          <w:sz w:val="24"/>
          <w:szCs w:val="24"/>
        </w:rPr>
        <w:t>Так, не является картелем нарушение, которое не преследует целью повышение или поддержание цен на торгах. Участие нескольких лиц лишь для того, чтобы торги признали состоявшимися (и к ним не применялись правила заключения договора с единственным участником), не подпадает под запрет.</w:t>
      </w:r>
    </w:p>
    <w:p w:rsidR="006B4136" w:rsidRDefault="008226EE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>ВС также предписывает судам давать оценку наличию причинно-следственной связи между действиями участников торгов и повышением, снижением или поддержанием цен.</w:t>
      </w:r>
    </w:p>
    <w:p w:rsidR="008226EE" w:rsidRDefault="008226EE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777916">
        <w:rPr>
          <w:rFonts w:ascii="Times New Roman" w:hAnsi="Times New Roman" w:cs="Times New Roman"/>
          <w:sz w:val="24"/>
          <w:szCs w:val="24"/>
        </w:rPr>
        <w:t xml:space="preserve">Несомненным плюсом является и отдельное указание ВС на то, что решение ФАС может быть отменено из-за нарушений процедуры рассмотрения дела, допущенных службой. </w:t>
      </w:r>
    </w:p>
    <w:p w:rsidR="008226EE" w:rsidRPr="00777916" w:rsidRDefault="008226EE" w:rsidP="006B413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8226EE" w:rsidRPr="00777916" w:rsidRDefault="008226EE" w:rsidP="008226EE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8226EE" w:rsidRPr="00777916" w:rsidSect="0070604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D"/>
    <w:rsid w:val="003C5AC1"/>
    <w:rsid w:val="00436B2D"/>
    <w:rsid w:val="005B2E8C"/>
    <w:rsid w:val="006640F0"/>
    <w:rsid w:val="006B4136"/>
    <w:rsid w:val="006C25D6"/>
    <w:rsid w:val="00777916"/>
    <w:rsid w:val="008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6E507-A242-4207-8647-591925B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60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6046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C5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694941?from=four_econom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mmersant.ru/doc/4694961?from=main_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125995/ekaterina-vinogradova-dmitrii-grinkevich/ne-dom-i-ne-ulitca-biznesu-mogut-razreshit-registratciiu-bez-ofisa" TargetMode="External"/><Relationship Id="rId5" Type="http://schemas.openxmlformats.org/officeDocument/2006/relationships/hyperlink" Target="https://iz.ru/1126723/iuliia-tcerekh-dmitrii-grinkevich/vse-rublem-finansovaia-podderzhka-regionov-postavila-istoricheskii-rekor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zeta.ru/business/2021/02/18/13483892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2021-07-12T04:12:00Z</dcterms:created>
  <dcterms:modified xsi:type="dcterms:W3CDTF">2021-07-12T04:12:00Z</dcterms:modified>
</cp:coreProperties>
</file>