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09" w:rsidRPr="00865BDC" w:rsidRDefault="00084609" w:rsidP="00084609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5BDC">
        <w:rPr>
          <w:rFonts w:ascii="Times New Roman" w:hAnsi="Times New Roman" w:cs="Times New Roman"/>
          <w:b/>
          <w:sz w:val="24"/>
          <w:szCs w:val="24"/>
        </w:rPr>
        <w:t xml:space="preserve">Минэкономики готовится </w:t>
      </w:r>
      <w:proofErr w:type="spellStart"/>
      <w:r w:rsidRPr="00865BDC">
        <w:rPr>
          <w:rFonts w:ascii="Times New Roman" w:hAnsi="Times New Roman" w:cs="Times New Roman"/>
          <w:b/>
          <w:sz w:val="24"/>
          <w:szCs w:val="24"/>
        </w:rPr>
        <w:t>цифровизовать</w:t>
      </w:r>
      <w:proofErr w:type="spellEnd"/>
      <w:r w:rsidRPr="00865BDC">
        <w:rPr>
          <w:rFonts w:ascii="Times New Roman" w:hAnsi="Times New Roman" w:cs="Times New Roman"/>
          <w:b/>
          <w:sz w:val="24"/>
          <w:szCs w:val="24"/>
        </w:rPr>
        <w:t xml:space="preserve"> поддержку МСП</w:t>
      </w:r>
    </w:p>
    <w:p w:rsidR="00084609" w:rsidRPr="001E23F0" w:rsidRDefault="00B4528A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84609" w:rsidRPr="006F665B">
          <w:rPr>
            <w:rStyle w:val="a5"/>
            <w:rFonts w:ascii="Times New Roman" w:hAnsi="Times New Roman" w:cs="Times New Roman"/>
            <w:sz w:val="24"/>
            <w:szCs w:val="24"/>
          </w:rPr>
          <w:t>https://www.kommersant.ru/doc/4880634</w:t>
        </w:r>
      </w:hyperlink>
      <w:r w:rsidR="00084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Минэкономики рассчитывает уже со 2 августа запустить эксперимент по цифровой поддержке малого и среднего предпринимательства, следует из опубликованного на regulation.gov.ru проекта постановления правительства. Речь идет о консолидации всех необходимых бизнесу сервисов на цифровой платформе, работающей в режиме «одного окна». Эксперимент продлится до конца 2022 года, отчет Минэкономики представит в правительство.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Запуск цифровой платформы предусмотрен обновленным нацпроектом по развитию МСП. В правительстве указывали, что это позволит внедрить адресный и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проактивный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подход к поддержке бизнеса. При этом система планируется многоступенчатой: государство будет сопровождать МСП по мере роста, предлагая сервисы для развития, а воспользоваться мерами поддержки будет легче компаниям, которые уже получили ее на начальном этапе.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рамках эксперимента правительство создаст информационно-аналитическую систему, которая сформирует «цифровой профиль» пользователя на основе официальных и коммерческих данных — для этого будет налажен обмен данными между участниками эксперимента.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Помимо Минэкономики в нем участвуют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и ФНС, другие министерства и ЦБ могут присоединиться на добровольной основе, как и институты развития, банки, страховые и лизинговые компании,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организации и др. Им будут доступны данные об учредительных документах компаний, среднесписочной численности и банковских счетах, налоговых выплатах, сведения о получении господдержки. Цифровой профиль и должен обеспечить адресный подбор услуг и сервисов в зависимости от потребностей компаний.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После реформы институтов развития поддержка малого бизнеса сосредоточится в АО «Корпорация МСП». Как пояснил “Ъ” ее гендиректор Александр Исаевич, в первую очередь будут запущены сервисы для начала своего дела (подготовка документов для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бизнеса), блок образовательных и акселерационных программ, законодательный дайджест, простым языком и схематично описывающий отраслевые изменения, а также отраслевая бизнес-аналитика — она позволит предпринимателям точнее принимать управленческие решения. Постепенно количество сервисов и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суперсервисов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будет увеличиваться, к 2025 году — не меньше 27. «Запуск правового эксперимента, который продлится до конца 2022 года, направлен на то, чтобы снизить нагрузку на бизнес»,— поясняет он.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Глава «Опоры России» Александр Калинин указывает, что цифровая платформа освободит организацию от вопросов, в которых она не должна быть модератором, например в случае проволочек с получением компаниями кредитов в банке.</w:t>
      </w: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целом же ожидается, что консолидация данных о получателях господдержки позволит властям проанализировать ее объем и эффективность и в дальнейшем сосредоточить меры поддержки в перспективных секторах.</w:t>
      </w:r>
    </w:p>
    <w:p w:rsidR="00084609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54C21" w:rsidRPr="00054C21" w:rsidRDefault="00054C21" w:rsidP="00054C21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54C21">
        <w:rPr>
          <w:rFonts w:ascii="Times New Roman" w:hAnsi="Times New Roman" w:cs="Times New Roman"/>
          <w:b/>
          <w:sz w:val="24"/>
          <w:szCs w:val="24"/>
        </w:rPr>
        <w:t>Правительство поддержало регионы отсрочкой по кредитам: объем реструктурированных бюджетных кредитов регионов составит 218 млрд рублей</w:t>
      </w:r>
    </w:p>
    <w:p w:rsidR="00B20FF4" w:rsidRPr="001E23F0" w:rsidRDefault="00B4528A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4C21" w:rsidRPr="006F665B">
          <w:rPr>
            <w:rStyle w:val="a5"/>
            <w:rFonts w:ascii="Times New Roman" w:hAnsi="Times New Roman" w:cs="Times New Roman"/>
            <w:sz w:val="24"/>
            <w:szCs w:val="24"/>
          </w:rPr>
          <w:t>https://www.gazeta.ru/economics/2021/07/01/13692362.shtml</w:t>
        </w:r>
      </w:hyperlink>
      <w:r w:rsidR="000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C21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Правительство начинает масштабную реструктуризацию долгов регионов по бюджетным кредитам. Соответствующие правила в четверг утвердил премьер-министр Михаил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По условиям реструктуризации существующих долгов с 2021 по 2024 год регионам разрешается погашать по 5% от суммы задолженности ежегодно. В период с </w:t>
      </w:r>
      <w:r w:rsidRPr="001E23F0">
        <w:rPr>
          <w:rFonts w:ascii="Times New Roman" w:hAnsi="Times New Roman" w:cs="Times New Roman"/>
          <w:sz w:val="24"/>
          <w:szCs w:val="24"/>
        </w:rPr>
        <w:lastRenderedPageBreak/>
        <w:t>2025 по 2029 год остаток долга должен выплачиваться равными долями. Можно также погасить задолженность досрочно.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Это решение касается только тех кредитов, которые были предоставлены регионам в декабре 2020 года.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«В декабре 2020 года Минфин России заключил соглашения с 53 регионами о предоставлении бюджетных кредитов для погашения ранее выданных кредитов из федерального бюджета со сроком погашения не позднее 1 июля 2021 года, — рассказали «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Газете.Ru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» в пресс-службе Минфина. — Объем реструктурированной задолженности составит до 218 млрд рублей. При этом высвобождаемые средства пойдут на инвестиции в объекты инфраструктуры».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Как поясняется на сайте правительства, помимо упомянутых сдвинутых сроков, в прошлом году был в два раза увеличен срок предоставления коротких казначейских займов, а также «напрямую» выделено 300 млрд рублей, которые пошли на выполнение социальных обязательств, закупку лекарств, поддержку ЖКХ и социальной инфраструктуры.</w:t>
      </w:r>
    </w:p>
    <w:p w:rsidR="00B20FF4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Практически все субъекты сейчас имеют федеральные бюджетные кредиты. Их объем составляет около 1,1 трлн рублей при общем объеме государственного долга примерно в 2,5 трлн рублей. 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Однако условия реструктуризации предусматривают ужесточение ряда мер. Так, регионам, подавшим заявку на реструктуризацию, запрещается увеличивать долг по рыночным заимствованиям. Второе условие — высвободившиеся средства должны быть направлены на финансирование объектов инфраструктуры в рамках новых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инвестпроектов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Пункт об инфраструктуре перекликается с программой о реструктуризации бюджетных кредитов 2017 года, где также фигурировало аналогичное требование, напоминает, в свою очередь, старший директор по корпоративным и суверенным рейтингам «Эксперт РА»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«Таким образом, получается, что прогнозируемые дефициты бюджетов по итогам 2021 года еще могут быть профинансированы за счет коммерческих кредитов и облигационных выпусков», — говорит эксперт. И эти требования действительно выглядят жестко.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«По сути, с 2022 года регионы не смогут занимать банковские кредиты и облигации, — отмечает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. — А облигации являются эффективным инструментом по удлинению долгового портфеля и </w:t>
      </w:r>
      <w:proofErr w:type="gramStart"/>
      <w:r w:rsidRPr="001E23F0">
        <w:rPr>
          <w:rFonts w:ascii="Times New Roman" w:hAnsi="Times New Roman" w:cs="Times New Roman"/>
          <w:sz w:val="24"/>
          <w:szCs w:val="24"/>
        </w:rPr>
        <w:t>еще совсем недавно только поднималась</w:t>
      </w:r>
      <w:proofErr w:type="gramEnd"/>
      <w:r w:rsidRPr="001E23F0">
        <w:rPr>
          <w:rFonts w:ascii="Times New Roman" w:hAnsi="Times New Roman" w:cs="Times New Roman"/>
          <w:sz w:val="24"/>
          <w:szCs w:val="24"/>
        </w:rPr>
        <w:t xml:space="preserve"> и активировалась со стороны федеральных властей тема по мотивированию регионов идти за публичным долгом, диверсифицировать портфель и удлинять его».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Собеседница «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Газеты.Ru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» добавила, что, помимо этого, не очень понятно, за счет чего регионы в таком случае будут покрывать бюджетные дефициты. У них, конечно, теперь появится новый инструмент в виде инфраструктурных бюджетных кредитов, но как они смогут изловчиться и направить эти деньги на покрытие дефицита, пока не ясно, отметила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Галиева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Эксперт сомневается, что все регионы, получившие полугодовой бюджетный кредит, решат участвовать в программе реструктуризации. «Часть регионов уже успела погасить этот кредит, — говорит она. — А для кого-то, возможно, будет эффективнее сейчас рефинансировать этот кредит за счет того же, например, банковского кредита, чем ввязываться в обременительную программу реструктуризации. Также, вполне возможно, что будут введены новые условия по смягчению долговой нагрузки со стороны федеральных властей, которые позволят регионам более гибко формировать свой долговой портфель».</w:t>
      </w:r>
    </w:p>
    <w:p w:rsidR="00B20FF4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54C21" w:rsidRPr="00054C21" w:rsidRDefault="00054C21" w:rsidP="00054C21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54C21">
        <w:rPr>
          <w:rFonts w:ascii="Times New Roman" w:hAnsi="Times New Roman" w:cs="Times New Roman"/>
          <w:b/>
          <w:sz w:val="24"/>
          <w:szCs w:val="24"/>
        </w:rPr>
        <w:lastRenderedPageBreak/>
        <w:t>130 стран согласны ввести единую систему налогообложения для корпораций</w:t>
      </w:r>
    </w:p>
    <w:p w:rsidR="00B20FF4" w:rsidRPr="001E23F0" w:rsidRDefault="00B4528A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54C21" w:rsidRPr="006F665B">
          <w:rPr>
            <w:rStyle w:val="a5"/>
            <w:rFonts w:ascii="Times New Roman" w:hAnsi="Times New Roman" w:cs="Times New Roman"/>
            <w:sz w:val="24"/>
            <w:szCs w:val="24"/>
          </w:rPr>
          <w:t>https://rg.ru/2021/07/02/130-stran-soglasny-vvesti-edinuiu-sistemu-nalogooblozheniia-dlia-korporacij.html</w:t>
        </w:r>
      </w:hyperlink>
      <w:r w:rsidR="000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Единая система налогообложения для корпораций с минимальной ставкой налога 15 процентов одобрена 130 странами, на которые приходится свыше 90 процентов мирового ВВП, об этом сообщает Организация экономического сотрудничества и развития (ОЭСР).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Ожидается, что окончательно двухкомпонентный план введения налога будет доработан в октябре, а реализация может начаться с 2023 года.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Этот план направлен на то, чтобы изменить нынешнюю налоговую систему в отношении транснациональных корпораций (ТНК), разработанную около века назад. Согласно информации ОЭСР, цель реформа - добиться, чтобы крупные транснациональные предприятия платили налоги там, где работают и получают прибыль.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Первый компонент плана введения единой системы должен помочь добиться выплаты налога в регионах, где предприятия работают. Второй компонент призван ввести минимальную глобальную ставку корпоративного налога, что даст право правительствам отдельных стран требовать от ТНК уплаты налогов.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Ожидается, что полученные средства составят не менее 150 миллиардов долларов в год по всему миру и будут использованы для инвестиций в социальные и инфраструктурные проекты, в том числе - для борьбы с последствиями пандемии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54C21" w:rsidRPr="00054C21" w:rsidRDefault="00054C21" w:rsidP="00054C21">
      <w:pPr>
        <w:pStyle w:val="a3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054C21">
        <w:rPr>
          <w:rFonts w:ascii="Times New Roman" w:hAnsi="Times New Roman" w:cs="Times New Roman"/>
          <w:b/>
          <w:sz w:val="24"/>
          <w:szCs w:val="24"/>
        </w:rPr>
        <w:t>Первые две недели действия новых ограничений, введенных из-за ухудшения ситуации с </w:t>
      </w:r>
      <w:proofErr w:type="spellStart"/>
      <w:r w:rsidRPr="00054C21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  <w:r w:rsidRPr="00054C21">
        <w:rPr>
          <w:rFonts w:ascii="Times New Roman" w:hAnsi="Times New Roman" w:cs="Times New Roman"/>
          <w:b/>
          <w:sz w:val="24"/>
          <w:szCs w:val="24"/>
        </w:rPr>
        <w:t>, снизили общие расходы граждан на 2–3%</w:t>
      </w:r>
    </w:p>
    <w:p w:rsidR="00B20FF4" w:rsidRPr="001E23F0" w:rsidRDefault="00B4528A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54C21" w:rsidRPr="006F665B">
          <w:rPr>
            <w:rStyle w:val="a5"/>
            <w:rFonts w:ascii="Times New Roman" w:hAnsi="Times New Roman" w:cs="Times New Roman"/>
            <w:sz w:val="24"/>
            <w:szCs w:val="24"/>
          </w:rPr>
          <w:t>https://iz.ru/1187162/igor-gonchar/poshli-na-snizhenie-novye-ogranicheniia-priveli-k-sokrashcheniiu-trat</w:t>
        </w:r>
      </w:hyperlink>
      <w:r w:rsidR="00054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DC" w:rsidRPr="001E23F0" w:rsidRDefault="00B20FF4" w:rsidP="00865BDC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Об этом говорится в исследовании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CoronaIndex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. </w:t>
      </w:r>
      <w:r w:rsidR="00865BDC" w:rsidRPr="001E23F0">
        <w:rPr>
          <w:rFonts w:ascii="Times New Roman" w:hAnsi="Times New Roman" w:cs="Times New Roman"/>
          <w:sz w:val="24"/>
          <w:szCs w:val="24"/>
        </w:rPr>
        <w:t>В составлении индекса учтены данные об онлайн и офлайн операциях более 15 млн клиентов «Тинькофф», включая физлиц и более 600 тыс. компаний.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Москва занимает последнее место среди регионов России в рейтинге индекса деловой и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потребактивности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, следует из материалов </w:t>
      </w:r>
      <w:r w:rsidR="00865BDC">
        <w:rPr>
          <w:rFonts w:ascii="Times New Roman" w:hAnsi="Times New Roman" w:cs="Times New Roman"/>
          <w:sz w:val="24"/>
          <w:szCs w:val="24"/>
        </w:rPr>
        <w:t>исследования</w:t>
      </w:r>
      <w:r w:rsidRPr="001E23F0">
        <w:rPr>
          <w:rFonts w:ascii="Times New Roman" w:hAnsi="Times New Roman" w:cs="Times New Roman"/>
          <w:sz w:val="24"/>
          <w:szCs w:val="24"/>
        </w:rPr>
        <w:t>. С ухудшением эпидемиологической ситуации и введением новых ограничений в столице по состоянию на 29 июня он сократился до 5,2 балла. В целом по стране показатель индекса оказался выше, чем в столице, остановившись на отметке 6,2. Отмечается, что в прошлом году в этот же день значения в Москве находились на уровне 5,8 баллов, по стране — 6,4. Пик наибольшей покупательской активности граждан — 10 баллов — наблюдался, например, в декабре 2020-го.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пятёрку регионов с самым низким показателем индекса вместе с Москвой также вошли Санкт-Петербург (5,9), Московская (5,7), Калужская (6,9), Ярославская (7,1) области. Интересно, что на первой строчке (с максимальным значением в 10 баллов) расположились сразу десять субъектов: Забайкальский край, Еврейская АО, а также республики Крым, Тыва, Чечня, Дагестан, Кабардино-Балкария, Карачаево-Черкесия, Калмыкия и Ингушетия.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За две недели после введения ограничений (с 14 по 27 июня) в сравнении с предыдущими (с 31 мая по 13 июня) жители столицы стали тратить меньше на 3%, а других регионов — на 2%. Активнее всего москвичи сокращали расходы на кинотеатры (–26%), покупку книг (–16%), цветов (–15%), транспорт (–5%) и походы в салоны красоты (–6%). Траты в категории «путешествия и отдых», согласно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Tinkoff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CoronaIndex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, сократились на 14% на авиа- и на 11% железнодорожные билеты. При этом расходы на услуги турагентств, напротив, выросли на 6%.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lastRenderedPageBreak/>
        <w:t xml:space="preserve">В ресторанах во второй половине июня жители столицы оставили на 8% меньше, чем в первой, а на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фастфуд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 xml:space="preserve"> потратили на 9% меньше. Кроме того, в первые два дня, когда были введены QR-коды для посещения заведений — 28–29 июня — оборот предприятий в Москве снизился на 14%, отмечают авторы отчета.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 xml:space="preserve">После введения новых требований оборот онлайн-чаевых снизился на 35%, а количество транзакций сократилось вдвое, что свидетельствует о значительном уменьшении количества посетителей. Однако гости стали щедрее: средняя сумма онлайн-чаевых за одну транзакцию выросла на 21% — с 266 до 323 рублей, следует из данных </w:t>
      </w:r>
      <w:proofErr w:type="spellStart"/>
      <w:r w:rsidRPr="001E23F0">
        <w:rPr>
          <w:rFonts w:ascii="Times New Roman" w:hAnsi="Times New Roman" w:cs="Times New Roman"/>
          <w:sz w:val="24"/>
          <w:szCs w:val="24"/>
        </w:rPr>
        <w:t>CloudPayments</w:t>
      </w:r>
      <w:proofErr w:type="spellEnd"/>
      <w:r w:rsidRPr="001E23F0">
        <w:rPr>
          <w:rFonts w:ascii="Times New Roman" w:hAnsi="Times New Roman" w:cs="Times New Roman"/>
          <w:sz w:val="24"/>
          <w:szCs w:val="24"/>
        </w:rPr>
        <w:t>.</w:t>
      </w: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1E23F0">
        <w:rPr>
          <w:rFonts w:ascii="Times New Roman" w:hAnsi="Times New Roman" w:cs="Times New Roman"/>
          <w:sz w:val="24"/>
          <w:szCs w:val="24"/>
        </w:rPr>
        <w:t>В то же время, по данным «Тинькофф Кассы», в начале этой недели обороты предприятий общепита в Москве и области за счет онлайн заказов на вынос выросли на 27% по сравнению с началом прошлой недели.</w:t>
      </w:r>
    </w:p>
    <w:p w:rsidR="00B20FF4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B20FF4" w:rsidRPr="001E23F0" w:rsidRDefault="00B20FF4" w:rsidP="00B20FF4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:rsidR="00084609" w:rsidRPr="001E23F0" w:rsidRDefault="00084609" w:rsidP="00084609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084609" w:rsidRPr="001E23F0" w:rsidSect="00836A7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C6"/>
    <w:rsid w:val="00054C21"/>
    <w:rsid w:val="00084609"/>
    <w:rsid w:val="0009060B"/>
    <w:rsid w:val="001E23F0"/>
    <w:rsid w:val="005D12C6"/>
    <w:rsid w:val="00865BDC"/>
    <w:rsid w:val="00B20FF4"/>
    <w:rsid w:val="00B4528A"/>
    <w:rsid w:val="00B8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4CBFC-D006-4AEA-97F5-7BBD114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6A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6A7C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054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z.ru/1187162/igor-gonchar/poshli-na-snizhenie-novye-ogranicheniia-priveli-k-sokrashcheniiu-tr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07/02/130-stran-soglasny-vvesti-edinuiu-sistemu-nalogooblozheniia-dlia-korporacij.html" TargetMode="External"/><Relationship Id="rId5" Type="http://schemas.openxmlformats.org/officeDocument/2006/relationships/hyperlink" Target="https://www.gazeta.ru/economics/2021/07/01/13692362.shtml" TargetMode="External"/><Relationship Id="rId4" Type="http://schemas.openxmlformats.org/officeDocument/2006/relationships/hyperlink" Target="https://www.kommersant.ru/doc/48806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Сергей</dc:creator>
  <cp:lastModifiedBy>Светлана Павловна Макаровских</cp:lastModifiedBy>
  <cp:revision>2</cp:revision>
  <dcterms:created xsi:type="dcterms:W3CDTF">2021-07-12T03:58:00Z</dcterms:created>
  <dcterms:modified xsi:type="dcterms:W3CDTF">2021-07-12T03:58:00Z</dcterms:modified>
</cp:coreProperties>
</file>