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5B" w:rsidRPr="002D305B" w:rsidRDefault="002D305B" w:rsidP="002D305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05B">
        <w:rPr>
          <w:rFonts w:ascii="Times New Roman" w:hAnsi="Times New Roman" w:cs="Times New Roman"/>
          <w:b/>
          <w:sz w:val="24"/>
          <w:szCs w:val="24"/>
        </w:rPr>
        <w:t>Более трети работодателей готовы повысить зарплаты сотрудникам в этом году</w:t>
      </w:r>
    </w:p>
    <w:p w:rsidR="00A20919" w:rsidRPr="001E3D10" w:rsidRDefault="00FF5B2A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D305B" w:rsidRPr="00C76EDA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https://www.gazeta.ru/business/news/2021/06/28/n_16166078.shtml</w:t>
        </w:r>
      </w:hyperlink>
      <w:r w:rsidR="002D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До конца этого года повысить зарплаты сотрудникам планируют 36% работодателей. Об этом </w:t>
      </w:r>
      <w:r w:rsidR="002D305B">
        <w:rPr>
          <w:rFonts w:ascii="Times New Roman" w:hAnsi="Times New Roman" w:cs="Times New Roman"/>
          <w:sz w:val="24"/>
          <w:szCs w:val="24"/>
        </w:rPr>
        <w:t>говорится в</w:t>
      </w:r>
      <w:r w:rsidRPr="001E3D10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D305B">
        <w:rPr>
          <w:rFonts w:ascii="Times New Roman" w:hAnsi="Times New Roman" w:cs="Times New Roman"/>
          <w:sz w:val="24"/>
          <w:szCs w:val="24"/>
        </w:rPr>
        <w:t xml:space="preserve">и </w:t>
      </w:r>
      <w:r w:rsidRPr="001E3D10">
        <w:rPr>
          <w:rFonts w:ascii="Times New Roman" w:hAnsi="Times New Roman" w:cs="Times New Roman"/>
          <w:sz w:val="24"/>
          <w:szCs w:val="24"/>
        </w:rPr>
        <w:t>сервиса «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Работа.ру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».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62% респондентов заявили, что оставят зарплаты работников на прежнем уровне, а еще 2% планируют понизить оплату труда.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Более половины опрошенных представителей компаний (54%) уточнили, что уже поднимали зарплаты в этом году. Чаще всего прибавка была до 10% — это отметили 60% респондентов из этой группы. Еще 36% работодателей заявили, что повысили оклад на 10-30%, а 3% сообщили, что в их компании прибавка к зарплате составляет 30-50%. Еще 1% респондентов повышают зарплаты в полтора-два раза.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Пока оплату труда не поднимали 43% работодателя, а 3% сказали, что зарплаты снизились.</w:t>
      </w:r>
    </w:p>
    <w:p w:rsidR="00A20919" w:rsidRDefault="00A20919" w:rsidP="002D305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Опрос проходил среди более 1 тысячи представителей российских компаний из всех округов.</w:t>
      </w:r>
    </w:p>
    <w:p w:rsidR="002D305B" w:rsidRDefault="002D305B" w:rsidP="002D305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D305B" w:rsidRDefault="002D305B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D305B" w:rsidRPr="002D305B" w:rsidRDefault="002D305B" w:rsidP="002D305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 xml:space="preserve">Какими могут быть последствия третьей волны </w:t>
      </w:r>
      <w:proofErr w:type="spellStart"/>
      <w:r w:rsidRPr="002D305B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2D305B">
        <w:rPr>
          <w:rFonts w:ascii="Times New Roman" w:hAnsi="Times New Roman" w:cs="Times New Roman"/>
          <w:b/>
          <w:sz w:val="24"/>
          <w:szCs w:val="24"/>
        </w:rPr>
        <w:t xml:space="preserve"> для роста экономики</w:t>
      </w:r>
    </w:p>
    <w:p w:rsidR="00A20919" w:rsidRPr="001E3D10" w:rsidRDefault="00FF5B2A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305B" w:rsidRPr="00C76EDA">
          <w:rPr>
            <w:rStyle w:val="a5"/>
            <w:rFonts w:ascii="Times New Roman" w:hAnsi="Times New Roman" w:cs="Times New Roman"/>
            <w:sz w:val="24"/>
            <w:szCs w:val="24"/>
          </w:rPr>
          <w:t>https://iz.ru/1184104/oksana-belkina/vrag-u-vorot-gotova-li-rossiia-k-novoi-retcessii</w:t>
        </w:r>
      </w:hyperlink>
      <w:r w:rsidR="002D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В 2020 году мировая экономика пережила мощное падение, но теперь ее ждет столь же мощный отскок — сработает эффект низкой базы. Как утверждает Всемирный банк (ВБ), в 2021-м мировой ВВП вырастет на 5,6%. Прежде всего за счет усиления активности в крупных экономиках: Китай вырастет на 8,5%, Индия — на 8,3%, США — на 6,8%.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На докризисный уровень к концу года выйдет и экономика России — Всемирный банк ждет прироста ВВП на 3,2% (в 2020-м было минус 3%, в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допандемийные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2018-й и 2019-й — 2,8% и 2%,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соотвественно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). Основными драйверами в ВБ считают восстановление внутреннего спроса и подорожание энергоносителей. Но риск представляет медленная вакцинация. Если население будет прививаться неохотно, эпидемия продолжится, потянув экономическую активность вниз.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Консервативный прогноз ЦМАКП предполагает, что пандемия продлится до середины 2022 года, а ВВП будет расти по 2–3% в год. Цены на нефть упадут до $50–55 за баррель в первой половине десятилетия, во второй — вырастут до $65. Согласно базовому прогнозу, прирост годового мирового ВВП составит 4%, а нефть подорожает до $82–85 за баррель к концу десятилетия. Монетарное стимулирование разгонит рынок, что позволит избежать долгового кризиса в ближайшее время.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Таким образом, оба сценария предполагают кризис в середине 2020-х годов. России прогнозируют рост ВВП на 1,2–2% ежегодно в течение десяти лет. Но в кризисную «паузу роста», которую эксперты ждут в 2025–2026 годах, этот показатель может приблизиться к нулевым значениям.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На неизбежность нового кризиса указали и в ЦБ, отметив при этом, что разговоры о нем пока преждевременны.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«Сейчас будет еще одна волна 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, и, возможно, это отложит завершение кризиса. Когда достигнем равновесия, то будем думать про следующий кризис», — сказал заместитель председателя регулятора Алексей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Заботкин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Он подчеркнул, что у Банка России есть инструменты для поддержки экономики и населения. «Нынешние меры являются своевременными в качестве антикризисных. Но когда кризис закончится, их необходимо прекратить, чтобы экономика могла дальше развиваться нормально. Кроме того, эти меры останутся у нас в </w:t>
      </w:r>
      <w:r w:rsidRPr="001E3D10">
        <w:rPr>
          <w:rFonts w:ascii="Times New Roman" w:hAnsi="Times New Roman" w:cs="Times New Roman"/>
          <w:sz w:val="24"/>
          <w:szCs w:val="24"/>
        </w:rPr>
        <w:lastRenderedPageBreak/>
        <w:t xml:space="preserve">арсенале. И если наступит следующий кризис, а он наступит неизбежно, мы воспользуемся этим арсеналом», — сказал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Заботкин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Очевидно, что полного восстановления экономики к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допандемийным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уровням еще не произошло: Россия сейчас только пытается вернуться на позиции января 2020-го. При этом от среднемирового темпа восстановления и динамике для группы развивающихся стран Россия пока отстает. По прогнозу Всемирного банка, российская экономика будет расти на 3,2% в 2021 и 2022 годах на укреплении внутреннего спроса и стабилизации цен на сырье.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«Естественно, приход третьей волны и ограничения, которые наложены на многие аспекты бизнеса, неизбежно приведут к откату назад. Поэтому негативные факторы, сдерживающие процесс восстановления (вакцинация населения, которая долгое время шла очень медленно, растущая геополитическая напряженность с перспективой новых санкций, галопирующая инфляция и рост основной ставки) могут стать причиной новой рецессии», — указывает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Евгений Шатов.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Одним из триггеров, который может спровоцировать новую рецессию, аналитик считает и рост ипотечного кредитования. Сейчас он не соответствует темпам роста строительства и разгоняет цены на жилье, тем самым снижая его доступность.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Эксперты тем не менее указывают на то, что Россия находится в лучшей позиции по сравнению с другими развитыми странами. Уровень внешнего долга (государственного и корпоративного) страны — 40% от ВВП, совокупный госдолг — порядка 17% от ВВП.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Для сравнения: уровень внешнего и государственного долга США и большинства стран ЕС превышает 100% ВВП, а у таких стран, как Япония, Исландия, Бельгия, находится на уровне 300% от ВВП. Кроме того, у России есть солидная подушка безопасности — как в государственных резервах, так и в Фонде национального благосостояния. Международные резервы России по данным ЦБ к 1 июня достигли $605,2 млрд. Это исторический максимум. В ФНБ — $186 млрд. То есть весь внешний долг они полностью покрывают. По объему международных резервов Россия занимает четвертое место в мире.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«Поэтому запас прочности у страны есть, здесь только вопрос приоритетов — траты денег и опции здесь почти безграничны. Чисто в теории уровень долга можно постепенно увеличить вдвое и даже втрое, при условии грамотных вложений средств и контроля за инфляционным давлением» — заключил Евгений Шатов из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D305B" w:rsidRPr="002D305B" w:rsidRDefault="002D305B" w:rsidP="002D305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Банку России может понадобиться ускоренное ужесточение денежной политики</w:t>
      </w:r>
    </w:p>
    <w:p w:rsidR="00A20919" w:rsidRPr="001E3D10" w:rsidRDefault="00FF5B2A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305B" w:rsidRPr="00C76EDA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https://www.kommersant.ru/doc/4877704</w:t>
        </w:r>
      </w:hyperlink>
      <w:r w:rsidR="002D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Инфляционные ожидания граждан и компаний в июне продолжают оставаться рекордными, свидетельствуют исследования ЦБ. На фоне того, что в начале июня инфляция уверенно перешагнула за 6%, оставаясь на уровне 6,2% в конце третьей недели месяца, а растущий частный спрос позволяет предприятиям безболезненно перекладывать увеличивающиеся входящие цены на конечного потребителя, действие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проинфляционных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факторов значительно. Последнее может заставить ЦБ повысить ключевую ставку до уровня более 6%.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Согласно июньскому комментарию Банка России об инфляционных ожиданиях, последние вновь выросли как у граждан, так и у компаний. Так, ожидания граждан на год вперед вернулись к апрельским максимумам — 11,9% против 11,3% месяц назад и остаются выше локальных пиков 2019–2020 годов. Хотя оценка текущей инфляции фактически стабильна и прибавила к маю лишь 0,1 процентного пункта (п. п.; 14,9%), доля респондентов, которые считают, что к концу года рост потребительских цен </w:t>
      </w:r>
      <w:r w:rsidRPr="001E3D10">
        <w:rPr>
          <w:rFonts w:ascii="Times New Roman" w:hAnsi="Times New Roman" w:cs="Times New Roman"/>
          <w:sz w:val="24"/>
          <w:szCs w:val="24"/>
        </w:rPr>
        <w:lastRenderedPageBreak/>
        <w:t>будет заметно выше 4%, вырос на 3 п. п.— до 61% и стал максимальным с февраля 2017 года.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В любом случае инфляционные ожидания не снизились, тогда как ценовые ожидания предприятий на три месяца вперед, по данным мониторинга ЦБ, в июне также продолжили бить рекорды, оставаясь выше локальных максимумов 2019–2020 годов (см. график). Бизнес прогнозирует, что в ближайший квартал годовой темп роста цен составит 4,1% (в июне 2020 года — 2,1%).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Основной причиной повышения ценовых ожиданий стал продолжающийся рост издержек, обусловленный увеличением цен на сырье, материалы и комплектующие как на внутреннем, так и на внешнем рынке»,— признают в ЦБ.</w:t>
      </w:r>
    </w:p>
    <w:p w:rsidR="002D305B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При этом регулятор отмечает, что инфляционное давление создают устойчивые факторы, связанные с продолжающимся повышением спроса, опережающим возможности расширения предложения. «Это облегчает предприятиям перенос в цены возросших издержек»,— считают авторы документа. Они, впрочем, указывают, что ожидания бизнеса относительно дальнейшего расширения спроса и выпуска несколько снизились и перекладывать издержки на потребителей, вероятно, получится лишь в короткой перспективе. 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Сам по себе уровень ключевой ставки в 6–6,5% при инфляции в 4–4,5% при сохранении экономического роста сейчас выглядит как сценарий, близкий в текущих условиях к идеальному. Отметим, впрочем, что инфляционный всплеск начала 2021 года ни в России, ни в мире практически не предсказывался аналитиками — ожидалась скорее сверхнизкая инфляция или даже дефляция из-за дефицита спроса, поэтому рассчитывать на то, что все пойдет именно так, вряд ли приходится: главный результат происходящего — дальнейший рост неопределенности, плохо совместимый с инвестициями.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D305B" w:rsidRPr="002D305B" w:rsidRDefault="002D305B" w:rsidP="002D305B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2D305B">
        <w:rPr>
          <w:rFonts w:ascii="Times New Roman" w:hAnsi="Times New Roman" w:cs="Times New Roman"/>
          <w:b/>
          <w:sz w:val="24"/>
          <w:szCs w:val="24"/>
        </w:rPr>
        <w:t>Разрабатываемый новый ГОСТ для предприятий хлебопекарной отрасли Евразийского экономического союза вызвал критику российских компаний</w:t>
      </w:r>
    </w:p>
    <w:p w:rsidR="00A20919" w:rsidRPr="001E3D10" w:rsidRDefault="00FF5B2A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305B" w:rsidRPr="00C76EDA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https://www.kommersant.ru/doc/4877653</w:t>
        </w:r>
      </w:hyperlink>
      <w:r w:rsidR="002D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Новый ГОСТ для хлебопеков, подготовленный Евразийским советом по стандартизации метрологии и сертификации (ЕССМС), вызвал негативную реакцию участников рынка. Если правила вступят в силу, это приведет к увеличению финансовой нагрузки на отрасль, сообщил в своем письме Российский союз пекарей (РСП) главе технической комиссии №003 при ЕССМС — куратору разработки нового ГОСТа — и директору НИИ хлебопекарной промышленности Марине Костюченко.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Основная претензия отрасли — к формулировкам.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Как поясняют авторы письма, в новом ГОСТе термин «хлебопекарная продукция» трактуется широко, как «продукция, включающая хлебобулочные изделия, хлебобулочные полуфабрикаты, хлебные изделия и хлебные полуфабрикаты». Однако в Налоговом кодексе РФ такого определения нет, подчеркивают в РСП.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 xml:space="preserve">В результате, опасаются в союзе, пекари могут лишиться льготного НДС в 10% (стандартная ставка для других отраслей 20%). Президент РСП Алексей Лялин оценивает дополнительную финансовую нагрузку на уровне 22,4 млрд руб. и это «повлияет на рост цен на хлеб». Такой вариант развития событий вполне реален, так как предлагаемые в проекте ГОСТа термины и определения отсутствуют в налоговом законодательстве РФ, подтверждает исполнительный директор Национального союза хлебопечения Рустам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Айдиев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>.</w:t>
      </w:r>
    </w:p>
    <w:p w:rsidR="00A20919" w:rsidRPr="001E3D10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Марина Костюченко удивлена реакцией отрасли:</w:t>
      </w:r>
    </w:p>
    <w:p w:rsidR="00A20919" w:rsidRPr="001E3D10" w:rsidRDefault="002D305B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0919" w:rsidRPr="001E3D10">
        <w:rPr>
          <w:rFonts w:ascii="Times New Roman" w:hAnsi="Times New Roman" w:cs="Times New Roman"/>
          <w:sz w:val="24"/>
          <w:szCs w:val="24"/>
        </w:rPr>
        <w:t>Изменение ГОСТа необходимо из-за появления на рынке новых видов продукции, потребительские характеристики которой значительно отличаются от традиционного хлеба и могут вводить в заблуждение покупателей».</w:t>
      </w:r>
    </w:p>
    <w:p w:rsidR="002D305B" w:rsidRDefault="00A20919" w:rsidP="002D305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Предложенные изменения направлены на защиту именно крупных производителей, выпекающих хлеб по традиционным технологиям, поясняет она. «Вряд ли им стоит опасаться увеличения налоговой нагрузки»,— полагает госпожа Костюченко. </w:t>
      </w:r>
    </w:p>
    <w:p w:rsidR="00A20919" w:rsidRPr="001E3D10" w:rsidRDefault="00A20919" w:rsidP="002D305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3D10">
        <w:rPr>
          <w:rFonts w:ascii="Times New Roman" w:hAnsi="Times New Roman" w:cs="Times New Roman"/>
          <w:sz w:val="24"/>
          <w:szCs w:val="24"/>
        </w:rPr>
        <w:t>Действующее налоговое законодательство позволяет применять ставку НДС в размере 10% при реализации хлеба и хлебобулочных изделий, включая сдобные, сухарные и бараночные изделия, отдельным пунктом значится мука, поясняет управляющий партнер юридической компании «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Иккерт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и партнеры» Павел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Иккерт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. Внесение более широкого понятия хлебопекарной продукции в общепринятую терминологию действительно может дать возможность налоговым органам изменить подход в расчете ставок, подтверждает он. Специальный советник по налоговым вопросам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 &amp;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1E3D10">
        <w:rPr>
          <w:rFonts w:ascii="Times New Roman" w:hAnsi="Times New Roman" w:cs="Times New Roman"/>
          <w:sz w:val="24"/>
          <w:szCs w:val="24"/>
        </w:rPr>
        <w:t>Локис</w:t>
      </w:r>
      <w:proofErr w:type="spellEnd"/>
      <w:r w:rsidRPr="001E3D10">
        <w:rPr>
          <w:rFonts w:ascii="Times New Roman" w:hAnsi="Times New Roman" w:cs="Times New Roman"/>
          <w:sz w:val="24"/>
          <w:szCs w:val="24"/>
        </w:rPr>
        <w:t xml:space="preserve"> соглашается, что в этом случае суды будут занимать позицию налоговиков.</w:t>
      </w:r>
    </w:p>
    <w:p w:rsidR="00A20919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20919" w:rsidRDefault="00A20919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2D305B" w:rsidRPr="001E3D10" w:rsidRDefault="002D305B" w:rsidP="00A2091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2D305B" w:rsidRPr="001E3D10" w:rsidSect="0053055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9060B"/>
    <w:rsid w:val="001E3D10"/>
    <w:rsid w:val="002D305B"/>
    <w:rsid w:val="005D12C6"/>
    <w:rsid w:val="00A20919"/>
    <w:rsid w:val="00B82E8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865A-324C-4897-953C-09F5E1F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0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0551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D3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877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877704" TargetMode="External"/><Relationship Id="rId5" Type="http://schemas.openxmlformats.org/officeDocument/2006/relationships/hyperlink" Target="https://iz.ru/1184104/oksana-belkina/vrag-u-vorot-gotova-li-rossiia-k-novoi-retcessii" TargetMode="External"/><Relationship Id="rId4" Type="http://schemas.openxmlformats.org/officeDocument/2006/relationships/hyperlink" Target="https://www.gazeta.ru/business/news/2021/06/28/n_16166078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2021-07-12T04:01:00Z</dcterms:created>
  <dcterms:modified xsi:type="dcterms:W3CDTF">2021-07-12T04:01:00Z</dcterms:modified>
</cp:coreProperties>
</file>