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42" w:rsidRPr="00420642" w:rsidRDefault="00420642" w:rsidP="00420642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0642">
        <w:rPr>
          <w:rFonts w:ascii="Times New Roman" w:hAnsi="Times New Roman" w:cs="Times New Roman"/>
          <w:b/>
          <w:sz w:val="24"/>
          <w:szCs w:val="24"/>
        </w:rPr>
        <w:t>Счетная палата не нашла конкуренции за крупный госзаказ</w:t>
      </w:r>
    </w:p>
    <w:p w:rsidR="007F2F44" w:rsidRPr="00420642" w:rsidRDefault="002D4B6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20642" w:rsidRPr="004E58D9">
          <w:rPr>
            <w:rStyle w:val="a5"/>
            <w:rFonts w:ascii="Times New Roman" w:hAnsi="Times New Roman" w:cs="Times New Roman"/>
            <w:sz w:val="24"/>
            <w:szCs w:val="24"/>
          </w:rPr>
          <w:t>https://rg.ru/2021/07/08/schetnaia-palata-ne-nashla-konkurencii-za-krupnyj-goszakaz.html</w:t>
        </w:r>
      </w:hyperlink>
      <w:r w:rsidR="0042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В госзаказе - а это огромный рынок, который в 2020 году достиг 8,9 трлн рублей, - реальная конкуренция в определенной мере присутствует при закупках стоимостью до 10 млн рублей, участниками которых преимущественно являются малый и средний бизнес. На таких закупках экономия максимальна: 18% от начальной цены при средней 6,2%. К таким выводам пришла Счетная палата по итогам проверки работы системы госзаказа в 2020 году.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По конкурентным процедурам заключена лишь четверть контрактов (по сумме). В госзаказе преобладают крупные поставщики, объем контрактов в неконкурентном секторе (с единственным поставщиком, в том числе после несостоявшихся закупок) за четыре года вырос на 17 процентных пунктов, до 74,1% в 2020 году. Этот процесс подстегнула пандемия: сумма контрактов, заключенных с единственным поставщиком для оказания неотложной медицинской помощи, ликвидации чрезвычайных ситуаций и так далее, выросла в шесть раз, до 361 млрд рублей в 2020 году.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Экономия снижается с увеличением размера начальной цены контракта, отмечает Счетная палата: на закупках до 10 млн рублей заказчики экономят 10-14%, тогда как на закупках свыше 100 млн рублей - от 2 до 4,2%. В закупках, участниками которых являются малый и средний бизнес и социально ориентированные некоммерческие организации, при начальной цене контракта до 500 тысяч рублей экономия - 19,4%, тогда как в диапазоне от 15 до 20 млн рублей - 8,8%. В то же время используемый Минфином показатель относительной экономии как критерий эффективной закупки не всегда отражает реальную картину, потому что он сильно зависит от обоснованности начальной цены контракта, а она, в свою очередь - от достоверности источников для определения цен, отмечает Счетная палата. Нарушения при обосновании начальной цены составили в прошлом году 88,8% (свыше 96 млрд рублей) всего объема финансовых нарушений.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 xml:space="preserve">Также Счетная палата указывает, что 10% заказчиков не смогли выполнить 15-процентную квоту для </w:t>
      </w:r>
      <w:proofErr w:type="spellStart"/>
      <w:r w:rsidRPr="00420642">
        <w:rPr>
          <w:rFonts w:ascii="Times New Roman" w:hAnsi="Times New Roman" w:cs="Times New Roman"/>
          <w:sz w:val="24"/>
          <w:szCs w:val="24"/>
        </w:rPr>
        <w:t>спецзакупок</w:t>
      </w:r>
      <w:proofErr w:type="spellEnd"/>
      <w:r w:rsidRPr="00420642">
        <w:rPr>
          <w:rFonts w:ascii="Times New Roman" w:hAnsi="Times New Roman" w:cs="Times New Roman"/>
          <w:sz w:val="24"/>
          <w:szCs w:val="24"/>
        </w:rPr>
        <w:t xml:space="preserve"> у малого и среднего бизнеса, установленную законом о контрактной системе, и в ряде случаев это невозможно. Например, 99,2% стоимости конкурентных закупок МВД в 2020 году составили контракты на страхование, а на этом рынке нет малого бизнеса. Та же ситуация у </w:t>
      </w:r>
      <w:proofErr w:type="spellStart"/>
      <w:r w:rsidRPr="00420642"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 w:rsidRPr="00420642">
        <w:rPr>
          <w:rFonts w:ascii="Times New Roman" w:hAnsi="Times New Roman" w:cs="Times New Roman"/>
          <w:sz w:val="24"/>
          <w:szCs w:val="24"/>
        </w:rPr>
        <w:t>, у которого наибольший объем закупок пришелся на поставки дорогих лекарств и вакцин. При этом недавно подписанный закон повышает квоту малого бизнеса в объеме госзаказа до 25%.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 xml:space="preserve">Счетная палата рекомендовала Минфину разработать стратегию развития </w:t>
      </w:r>
      <w:proofErr w:type="spellStart"/>
      <w:r w:rsidRPr="00420642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420642">
        <w:rPr>
          <w:rFonts w:ascii="Times New Roman" w:hAnsi="Times New Roman" w:cs="Times New Roman"/>
          <w:sz w:val="24"/>
          <w:szCs w:val="24"/>
        </w:rPr>
        <w:t xml:space="preserve"> с учетом отраслевой специфики и разработать единую методику эффективности закупок. Закупки сильно влияют на ситуацию в отраслях, а косвенно на необходимость определиться со стратегией, по мнению СП, указывает постоянная "точечная" правка законодательства о закупках: период стабильности закона о контрактной системе на протяжении 7 лет не превышал 1,5 месяца, а с учетом подзаконных актов - составлял менее двух недель. При этом нарушений в сфере закупок меньше не становится, напротив, с 2014 года их количество выросло в четыре раза, до 83,5 тысячи в 2020 году, а общая сумма финансовых нарушений выросла почти в шесть раз - до 362 млрд рублей.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Минфин указывает, что предложение СП не учитывает наличие уже утверждённой правительством стратегии на 2019-2024 годы, для реализации которой ведомство подготовило комплекс необходимых правовых актов. Кроме того, отмечает Минфин, показатели для мониторинга закупок утверждены постановлением правительства от 27 мая 2021 года № 814, и они учитывают разные аспекты, включая страну происхождения товара и минимальную долю отечественной продукции.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420642" w:rsidRPr="00420642" w:rsidRDefault="00420642" w:rsidP="007F2F44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420642">
        <w:rPr>
          <w:rFonts w:ascii="Times New Roman" w:hAnsi="Times New Roman" w:cs="Times New Roman"/>
          <w:b/>
          <w:sz w:val="24"/>
          <w:szCs w:val="24"/>
        </w:rPr>
        <w:t xml:space="preserve">С 2022 года в России может измениться система начисления страховых взносов на высокие зарплаты </w:t>
      </w:r>
    </w:p>
    <w:p w:rsidR="007F2F44" w:rsidRPr="00420642" w:rsidRDefault="002D4B6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0642" w:rsidRPr="004E58D9">
          <w:rPr>
            <w:rStyle w:val="a5"/>
            <w:rFonts w:ascii="Times New Roman" w:hAnsi="Times New Roman" w:cs="Times New Roman"/>
            <w:sz w:val="24"/>
            <w:szCs w:val="24"/>
          </w:rPr>
          <w:t>https://iz.ru/1189774/ekaterina-vinogradova-anna-kaledina/cherta-bogatstva-kabmin-obsuzhdaet-donastroiku-sistemy-strakhovykh-vznosov</w:t>
        </w:r>
      </w:hyperlink>
      <w:r w:rsidR="0042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44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Правительство обсуждает вероятность повышения планки окладов, с которых в Пенсионный фонд отчисляются взносы по максимальному тарифу — 22% (сейчас это доходы в размере 1,465 млн рублей в год).</w:t>
      </w:r>
      <w:r w:rsidR="00420642">
        <w:rPr>
          <w:rFonts w:ascii="Times New Roman" w:hAnsi="Times New Roman" w:cs="Times New Roman"/>
          <w:sz w:val="24"/>
          <w:szCs w:val="24"/>
        </w:rPr>
        <w:t xml:space="preserve"> </w:t>
      </w:r>
      <w:r w:rsidRPr="00420642">
        <w:rPr>
          <w:rFonts w:ascii="Times New Roman" w:hAnsi="Times New Roman" w:cs="Times New Roman"/>
          <w:sz w:val="24"/>
          <w:szCs w:val="24"/>
        </w:rPr>
        <w:t xml:space="preserve">Предполагается, что такой шаг может стать частью </w:t>
      </w:r>
      <w:proofErr w:type="spellStart"/>
      <w:r w:rsidRPr="00420642">
        <w:rPr>
          <w:rFonts w:ascii="Times New Roman" w:hAnsi="Times New Roman" w:cs="Times New Roman"/>
          <w:sz w:val="24"/>
          <w:szCs w:val="24"/>
        </w:rPr>
        <w:t>донастройки</w:t>
      </w:r>
      <w:proofErr w:type="spellEnd"/>
      <w:r w:rsidRPr="00420642">
        <w:rPr>
          <w:rFonts w:ascii="Times New Roman" w:hAnsi="Times New Roman" w:cs="Times New Roman"/>
          <w:sz w:val="24"/>
          <w:szCs w:val="24"/>
        </w:rPr>
        <w:t xml:space="preserve"> системы налогообложения состоятельных россиян.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Сегодня взносы по полному тарифу (22%) в ПФР платятся с зарплат до 1,465 млн рублей в год (примерно 122 тыс. рублей в месяц). С превышения этой планки в Пенсионный фонд идет только 10%. Такой порядок был введен в 2012 году по инициативе уходившего тогда с поста президента Дмитрия Медведева (до этого к заработку выше предельной величины применялся нулевой тариф). Общая же ставка страховых взносов во внебюджетные фонды была сокращена с 34 до 30% (в том числе для платежей в ПФР с 26 до 22%), а для отдельных категорий плательщиков — до 20%. Это рассматривалось как снижение налоговой нагрузки на бизнес.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После 2014 года государство постоянно продлевало мораторий на пенсионные накопления, которые перестали поступать на счета россиян для последующего инвестирования и начали использоваться для выплат пенсионерам. Однако в повестке дня время от времени возникал и вопрос повышения страховых взносов для сбалансированности бюджета ПФР. Например, в 2016 году СМИ сообщали, что правительство рассматривало идею ввести дополнительный платеж с работающих граждан в размере 2% и увеличить вдвое размер отчислений в ПФР, которые делают работодатели с высоких зарплат. Но тогда это не было реализовано.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Изменения произошли на фоне пандемии в 2020 году и носили противоположный характер: президент Владимир Путин снизил размер страховых взносов для компаний МСП с 30 до 15%, а для IT-фирм — с 15 до 7,6%. Впрочем, параллельно был увеличен налог на доходы физических лиц, зарабатывающих свыше 5 млн рублей в год, — с 13 до 15%.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К идее увеличить нагрузку на труд высокооплачиваемых сотрудников власти вернулись на заседании бюджетной комиссии в июле 2021 года, сообщили источники «Известий». По их словам, правительство рассматривает возможность более резко, чем обычно, повысить планку оклада, с которого работодатели отчисляют 10% в ПФР. Пока ее уровень сдвигается за счет ежегодной индексации и за пять лет, например, он вырос вдвое.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 xml:space="preserve">Если одномоментно и резко увеличить лимит, рассказали собеседники «Известий», то вырастет объем поступлений в ПФР. При этом, по их словам, конкретные параметры еще неизвестны, их предстоит установить. Также эта </w:t>
      </w:r>
      <w:proofErr w:type="spellStart"/>
      <w:r w:rsidRPr="00420642">
        <w:rPr>
          <w:rFonts w:ascii="Times New Roman" w:hAnsi="Times New Roman" w:cs="Times New Roman"/>
          <w:sz w:val="24"/>
          <w:szCs w:val="24"/>
        </w:rPr>
        <w:t>донастройка</w:t>
      </w:r>
      <w:proofErr w:type="spellEnd"/>
      <w:r w:rsidRPr="00420642">
        <w:rPr>
          <w:rFonts w:ascii="Times New Roman" w:hAnsi="Times New Roman" w:cs="Times New Roman"/>
          <w:sz w:val="24"/>
          <w:szCs w:val="24"/>
        </w:rPr>
        <w:t xml:space="preserve"> позволит реализовать запрос на социальную справедливость, подчеркнул один из источников «Известий».</w:t>
      </w:r>
    </w:p>
    <w:p w:rsidR="007F2F44" w:rsidRPr="00420642" w:rsidRDefault="007F2F44" w:rsidP="007F2F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20642">
        <w:rPr>
          <w:rFonts w:ascii="Times New Roman" w:hAnsi="Times New Roman" w:cs="Times New Roman"/>
          <w:sz w:val="24"/>
          <w:szCs w:val="24"/>
        </w:rPr>
        <w:t>По итогам 2020 года из-за карантинных мер и установленных льгот по уплате страховых взносов их поступления снизились на 211 млрд рублей, отмечала ранее Счетная палата. В общей сложности фонд получил 5,5 трлн рублей страховых взносов, что составило 96,3% от прогнозируемого объема.</w:t>
      </w:r>
    </w:p>
    <w:p w:rsidR="007F2F44" w:rsidRPr="00420642" w:rsidRDefault="007F2F44" w:rsidP="004206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7F2F44" w:rsidRPr="00420642" w:rsidSect="00C04E2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9060B"/>
    <w:rsid w:val="002D4B64"/>
    <w:rsid w:val="003F2CE4"/>
    <w:rsid w:val="00420642"/>
    <w:rsid w:val="005D12C6"/>
    <w:rsid w:val="005E7B2F"/>
    <w:rsid w:val="007F2F44"/>
    <w:rsid w:val="00B82E80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2695-BA7A-45D6-BE88-196D19E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4E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4E2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42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1189774/ekaterina-vinogradova-anna-kaledina/cherta-bogatstva-kabmin-obsuzhdaet-donastroiku-sistemy-strakhovykh-vznosov" TargetMode="External"/><Relationship Id="rId4" Type="http://schemas.openxmlformats.org/officeDocument/2006/relationships/hyperlink" Target="https://rg.ru/2021/07/08/schetnaia-palata-ne-nashla-konkurencii-za-krupnyj-goszak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2021-07-12T03:59:00Z</dcterms:created>
  <dcterms:modified xsi:type="dcterms:W3CDTF">2021-07-12T03:59:00Z</dcterms:modified>
</cp:coreProperties>
</file>