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9628"/>
        <w:gridCol w:w="180"/>
      </w:tblGrid>
      <w:tr w:rsidR="001731EF" w:rsidRPr="001731EF" w:rsidTr="00007108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1EF" w:rsidRPr="001731EF" w:rsidRDefault="001731EF" w:rsidP="001731EF">
            <w:pPr>
              <w:autoSpaceDE w:val="0"/>
              <w:autoSpaceDN w:val="0"/>
              <w:adjustRightInd w:val="0"/>
              <w:rPr>
                <w:rFonts w:ascii="PF Din Text Comp Pro Light" w:eastAsia="Calibri" w:hAnsi="PF Din Text Comp Pro Light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731EF" w:rsidRPr="001731EF" w:rsidRDefault="001731EF" w:rsidP="001731EF">
            <w:pPr>
              <w:autoSpaceDE w:val="0"/>
              <w:autoSpaceDN w:val="0"/>
              <w:adjustRightInd w:val="0"/>
              <w:jc w:val="both"/>
              <w:rPr>
                <w:rFonts w:ascii="PF Din Text Comp Pro Light" w:eastAsia="Calibri" w:hAnsi="PF Din Text Comp Pro Light" w:cs="Calibri"/>
                <w:color w:val="FFFCE1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1EF" w:rsidRPr="001731EF" w:rsidRDefault="001731EF" w:rsidP="001731EF">
            <w:pPr>
              <w:autoSpaceDE w:val="0"/>
              <w:autoSpaceDN w:val="0"/>
              <w:adjustRightInd w:val="0"/>
              <w:rPr>
                <w:rFonts w:ascii="PF Din Text Comp Pro Light" w:eastAsia="Calibri" w:hAnsi="PF Din Text Comp Pro Light" w:cs="Calibr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r w:rsidRPr="001731EF">
              <w:rPr>
                <w:rFonts w:ascii="PF Din Text Comp Pro Light" w:eastAsia="Calibri" w:hAnsi="PF Din Text Comp Pro Light" w:cs="Calibri"/>
                <w:b/>
                <w:color w:val="0070C0"/>
                <w:sz w:val="40"/>
                <w:szCs w:val="40"/>
                <w:lang w:eastAsia="en-US"/>
              </w:rPr>
              <w:t>О предоставлении налоговых вычетов по НДФЛ в упрощенном порядке</w:t>
            </w:r>
            <w:bookmarkEnd w:id="0"/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1EF" w:rsidRPr="001731EF" w:rsidRDefault="001731EF" w:rsidP="001731EF">
            <w:pPr>
              <w:autoSpaceDE w:val="0"/>
              <w:autoSpaceDN w:val="0"/>
              <w:adjustRightInd w:val="0"/>
              <w:rPr>
                <w:rFonts w:ascii="PF Din Text Comp Pro Light" w:eastAsia="Calibri" w:hAnsi="PF Din Text Comp Pro Light" w:cs="Calibri"/>
                <w:color w:val="auto"/>
                <w:sz w:val="36"/>
                <w:szCs w:val="36"/>
                <w:lang w:eastAsia="en-US"/>
              </w:rPr>
            </w:pPr>
          </w:p>
        </w:tc>
      </w:tr>
    </w:tbl>
    <w:p w:rsidR="001731EF" w:rsidRPr="001731EF" w:rsidRDefault="001731EF" w:rsidP="001731EF">
      <w:pPr>
        <w:spacing w:after="200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Упрощенный порядок предоставления вычетов  применяется к правоотношениям по предоставлению налоговых вычетов, право на которые возникло у налогоплательщика с 1 января 2020 года.</w:t>
      </w:r>
    </w:p>
    <w:p w:rsidR="001731EF" w:rsidRPr="001731EF" w:rsidRDefault="001731EF" w:rsidP="001731EF">
      <w:pPr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К данным вычетам относятся:</w:t>
      </w:r>
    </w:p>
    <w:p w:rsidR="001731EF" w:rsidRPr="001731EF" w:rsidRDefault="001731EF" w:rsidP="001731EF">
      <w:pPr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инвестиционный налоговый вычет, предусмотренный подпунктами 2 и 3 пункта 1 статьи 219.1 НК РФ;</w:t>
      </w:r>
    </w:p>
    <w:p w:rsidR="001731EF" w:rsidRDefault="001731EF" w:rsidP="001731EF">
      <w:pPr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имущественный налоговый вычет, предусмотренных подпунктами 3 и 4 пункта 1 статьи 220 НК РФ.</w:t>
      </w:r>
    </w:p>
    <w:p w:rsidR="001731EF" w:rsidRPr="001731EF" w:rsidRDefault="001731EF" w:rsidP="001731EF">
      <w:pPr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</w:p>
    <w:p w:rsidR="001731EF" w:rsidRP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Суть упрощенного порядка:</w:t>
      </w:r>
    </w:p>
    <w:p w:rsidR="001731EF" w:rsidRP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сокращенные сроки предоставления вычетов (срок камеральной проверки - месяц, на возврат налога - до 15 дней) для физлиц, имеющих личный кабинет налогоплательщика на сайте ФНС России;</w:t>
      </w:r>
    </w:p>
    <w:p w:rsid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- отсутствие необходимости представления налоговой декларации 3-НДФЛ и пакета подтверждающих документов.</w:t>
      </w:r>
    </w:p>
    <w:p w:rsidR="001731EF" w:rsidRP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</w:p>
    <w:p w:rsid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  <w:t>Информация, необходимая для подтверждения права на вычет, будет поступать напрямую от банков/налоговых агентов - участников информационного обмена с ФНС России. Участие налоговых агентов (банков) в таком обмене информацией осуществляется в добровольном порядке.</w:t>
      </w:r>
    </w:p>
    <w:p w:rsidR="001731EF" w:rsidRP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</w:p>
    <w:p w:rsidR="001731EF" w:rsidRPr="001731EF" w:rsidRDefault="001731EF" w:rsidP="001731EF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От налогоплательщика потребуется только заявление, которое нужно сформировать и представить в инспекцию через личный кабинет налогоплательщика. Сделать это можно по окончании года, в котором возникло право на вычет.</w:t>
      </w:r>
    </w:p>
    <w:p w:rsidR="001731EF" w:rsidRPr="001731EF" w:rsidRDefault="001731EF" w:rsidP="001731EF">
      <w:pPr>
        <w:autoSpaceDE w:val="0"/>
        <w:autoSpaceDN w:val="0"/>
        <w:adjustRightInd w:val="0"/>
        <w:spacing w:before="22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Данные для заполнения заявления налогоплательщик найдет в своем «Личном кабинете налогоплательщика» (сайт ФНС </w:t>
      </w:r>
      <w:hyperlink r:id="rId7" w:history="1">
        <w:r w:rsidRPr="001731EF">
          <w:rPr>
            <w:rFonts w:ascii="PF Din Text Comp Pro Light" w:eastAsia="Calibri" w:hAnsi="PF Din Text Comp Pro Light" w:cs="Calibri"/>
            <w:color w:val="0000FF"/>
            <w:sz w:val="32"/>
            <w:szCs w:val="32"/>
            <w:u w:val="single"/>
            <w:lang w:val="en-US" w:eastAsia="en-US"/>
          </w:rPr>
          <w:t>www</w:t>
        </w:r>
        <w:r w:rsidRPr="001731EF">
          <w:rPr>
            <w:rFonts w:ascii="PF Din Text Comp Pro Light" w:eastAsia="Calibri" w:hAnsi="PF Din Text Comp Pro Light" w:cs="Calibri"/>
            <w:color w:val="0000FF"/>
            <w:sz w:val="32"/>
            <w:szCs w:val="32"/>
            <w:u w:val="single"/>
            <w:lang w:eastAsia="en-US"/>
          </w:rPr>
          <w:t>.</w:t>
        </w:r>
        <w:proofErr w:type="spellStart"/>
        <w:r w:rsidRPr="001731EF">
          <w:rPr>
            <w:rFonts w:ascii="PF Din Text Comp Pro Light" w:eastAsia="Calibri" w:hAnsi="PF Din Text Comp Pro Light" w:cs="Calibri"/>
            <w:color w:val="0000FF"/>
            <w:sz w:val="32"/>
            <w:szCs w:val="32"/>
            <w:u w:val="single"/>
            <w:lang w:val="en-US" w:eastAsia="en-US"/>
          </w:rPr>
          <w:t>nalog</w:t>
        </w:r>
        <w:proofErr w:type="spellEnd"/>
      </w:hyperlink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gov</w:t>
      </w:r>
      <w:proofErr w:type="spellEnd"/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  <w:proofErr w:type="spellStart"/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val="en-US" w:eastAsia="en-US"/>
        </w:rPr>
        <w:t>ru</w:t>
      </w:r>
      <w:proofErr w:type="spellEnd"/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). Размер вычета инспекция определит на основании сведений о доходах, суммах удержанного налога и произведенных расходах за соответствующий год. Данные сведения передают в инспекцию  налоговые агенты и банки. Если вычет (по представленному заявлению) не может быть предоставлен в упрощенном порядке, в «Личном кабинете» появится сообщение об этом с указанием причин.</w:t>
      </w:r>
    </w:p>
    <w:p w:rsidR="001731EF" w:rsidRPr="001731EF" w:rsidRDefault="001731EF" w:rsidP="001731EF">
      <w:pPr>
        <w:jc w:val="both"/>
        <w:rPr>
          <w:rFonts w:ascii="PF Din Text Comp Pro Light" w:eastAsia="Calibri" w:hAnsi="PF Din Text Comp Pro Light"/>
          <w:color w:val="auto"/>
          <w:sz w:val="32"/>
          <w:szCs w:val="32"/>
          <w:lang w:eastAsia="en-US"/>
        </w:rPr>
      </w:pPr>
    </w:p>
    <w:p w:rsidR="001731EF" w:rsidRPr="001731EF" w:rsidRDefault="001731EF" w:rsidP="001731EF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</w:pPr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 xml:space="preserve">Новый упрощенный порядок не отменяет возможности получения имущественных и инвестиционных налоговых вычетов в действующем порядке - посредством представления налоговой декларации </w:t>
      </w:r>
      <w:hyperlink r:id="rId8" w:history="1">
        <w:r w:rsidRPr="001731EF">
          <w:rPr>
            <w:rFonts w:ascii="PF Din Text Comp Pro Light" w:eastAsia="Calibri" w:hAnsi="PF Din Text Comp Pro Light" w:cs="Calibri"/>
            <w:color w:val="0000FF"/>
            <w:sz w:val="32"/>
            <w:szCs w:val="32"/>
            <w:lang w:eastAsia="en-US"/>
          </w:rPr>
          <w:t>формы 3-НДФЛ</w:t>
        </w:r>
      </w:hyperlink>
      <w:r w:rsidRPr="001731EF">
        <w:rPr>
          <w:rFonts w:ascii="PF Din Text Comp Pro Light" w:eastAsia="Calibri" w:hAnsi="PF Din Text Comp Pro Light" w:cs="Calibri"/>
          <w:color w:val="auto"/>
          <w:sz w:val="32"/>
          <w:szCs w:val="32"/>
          <w:lang w:eastAsia="en-US"/>
        </w:rPr>
        <w:t>.</w:t>
      </w:r>
    </w:p>
    <w:p w:rsidR="005F27E4" w:rsidRPr="005F27E4" w:rsidRDefault="005F27E4" w:rsidP="005F27E4">
      <w:pPr>
        <w:spacing w:after="200" w:line="276" w:lineRule="auto"/>
        <w:jc w:val="center"/>
        <w:rPr>
          <w:rFonts w:ascii="PF Din Text Comp Pro Light" w:eastAsia="Calibri" w:hAnsi="PF Din Text Comp Pro Light"/>
          <w:b/>
          <w:color w:val="0070C0"/>
          <w:sz w:val="22"/>
          <w:szCs w:val="22"/>
          <w:lang w:eastAsia="en-US"/>
        </w:rPr>
      </w:pPr>
    </w:p>
    <w:sectPr w:rsidR="005F27E4" w:rsidRPr="005F27E4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1300A1"/>
    <w:rsid w:val="001731EF"/>
    <w:rsid w:val="00197D7B"/>
    <w:rsid w:val="00394E18"/>
    <w:rsid w:val="004C0741"/>
    <w:rsid w:val="00505AD3"/>
    <w:rsid w:val="00573540"/>
    <w:rsid w:val="005F2206"/>
    <w:rsid w:val="005F27E4"/>
    <w:rsid w:val="007602EC"/>
    <w:rsid w:val="007A634E"/>
    <w:rsid w:val="009373D3"/>
    <w:rsid w:val="00B663B3"/>
    <w:rsid w:val="00B84C63"/>
    <w:rsid w:val="00BA49F9"/>
    <w:rsid w:val="00C54067"/>
    <w:rsid w:val="00D5452D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8ADAF3EEB0875A8DE70CCAA186AF0CE17A2DEFFEC079595D5A0027EE59386245FB407EB84870787DCFD15604E686AAJ8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lo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2021-07-29T09:17:00Z</dcterms:created>
  <dcterms:modified xsi:type="dcterms:W3CDTF">2021-07-29T10:04:00Z</dcterms:modified>
</cp:coreProperties>
</file>