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0611" w14:textId="77777777" w:rsidR="00A26EAC" w:rsidRPr="00A26EAC" w:rsidRDefault="00A26EAC" w:rsidP="00304F2D">
      <w:pPr>
        <w:pStyle w:val="a6"/>
        <w:spacing w:before="62"/>
        <w:ind w:left="4841"/>
        <w:rPr>
          <w:b/>
        </w:rPr>
      </w:pPr>
      <w:r w:rsidRPr="00A26EAC">
        <w:rPr>
          <w:b/>
          <w:spacing w:val="-2"/>
          <w:w w:val="105"/>
        </w:rPr>
        <w:t>Доклад</w:t>
      </w:r>
    </w:p>
    <w:p w14:paraId="094BB49D" w14:textId="77777777" w:rsidR="00A26EAC" w:rsidRPr="00A26EAC" w:rsidRDefault="00A26EAC" w:rsidP="00304F2D">
      <w:pPr>
        <w:pStyle w:val="a6"/>
        <w:spacing w:before="4"/>
        <w:ind w:firstLine="15"/>
        <w:rPr>
          <w:b/>
        </w:rPr>
      </w:pPr>
      <w:r w:rsidRPr="00A26EAC">
        <w:rPr>
          <w:b/>
          <w:w w:val="105"/>
        </w:rPr>
        <w:t>об</w:t>
      </w:r>
      <w:r w:rsidRPr="00A26EAC">
        <w:rPr>
          <w:b/>
          <w:spacing w:val="-14"/>
          <w:w w:val="105"/>
        </w:rPr>
        <w:t xml:space="preserve"> </w:t>
      </w:r>
      <w:r w:rsidRPr="00A26EAC">
        <w:rPr>
          <w:b/>
          <w:w w:val="105"/>
        </w:rPr>
        <w:t>организации системы внутреннего обеспечения соответствия деятельности</w:t>
      </w:r>
      <w:r w:rsidRPr="00A26EAC">
        <w:rPr>
          <w:b/>
          <w:spacing w:val="28"/>
          <w:w w:val="105"/>
        </w:rPr>
        <w:t xml:space="preserve"> </w:t>
      </w:r>
      <w:r w:rsidRPr="00A26EAC">
        <w:rPr>
          <w:b/>
          <w:w w:val="105"/>
        </w:rPr>
        <w:t>администрации</w:t>
      </w:r>
      <w:r w:rsidRPr="00A26EAC">
        <w:rPr>
          <w:b/>
          <w:spacing w:val="43"/>
          <w:w w:val="105"/>
        </w:rPr>
        <w:t xml:space="preserve"> </w:t>
      </w:r>
      <w:r w:rsidRPr="00A26EAC">
        <w:rPr>
          <w:b/>
          <w:w w:val="105"/>
        </w:rPr>
        <w:t>Сосновского</w:t>
      </w:r>
      <w:r w:rsidRPr="00A26EAC">
        <w:rPr>
          <w:b/>
          <w:spacing w:val="33"/>
          <w:w w:val="105"/>
        </w:rPr>
        <w:t xml:space="preserve"> </w:t>
      </w:r>
      <w:r w:rsidRPr="00A26EAC">
        <w:rPr>
          <w:b/>
          <w:w w:val="105"/>
        </w:rPr>
        <w:t>муниципального</w:t>
      </w:r>
      <w:r w:rsidRPr="00A26EAC">
        <w:rPr>
          <w:b/>
          <w:spacing w:val="3"/>
          <w:w w:val="105"/>
        </w:rPr>
        <w:t xml:space="preserve"> </w:t>
      </w:r>
      <w:r w:rsidRPr="00A26EAC">
        <w:rPr>
          <w:b/>
          <w:spacing w:val="-2"/>
          <w:w w:val="105"/>
        </w:rPr>
        <w:t>района</w:t>
      </w:r>
      <w:r w:rsidRPr="00A26EAC">
        <w:rPr>
          <w:b/>
        </w:rPr>
        <w:t xml:space="preserve"> </w:t>
      </w:r>
      <w:r w:rsidRPr="00A26EAC">
        <w:rPr>
          <w:b/>
          <w:w w:val="105"/>
        </w:rPr>
        <w:t>требованиям</w:t>
      </w:r>
      <w:r w:rsidRPr="00A26EAC">
        <w:rPr>
          <w:b/>
          <w:spacing w:val="26"/>
          <w:w w:val="105"/>
        </w:rPr>
        <w:t xml:space="preserve"> </w:t>
      </w:r>
      <w:r w:rsidRPr="00A26EAC">
        <w:rPr>
          <w:b/>
          <w:w w:val="105"/>
        </w:rPr>
        <w:t>антимонопольного</w:t>
      </w:r>
      <w:r w:rsidRPr="00A26EAC">
        <w:rPr>
          <w:b/>
          <w:spacing w:val="-3"/>
          <w:w w:val="105"/>
        </w:rPr>
        <w:t xml:space="preserve"> </w:t>
      </w:r>
      <w:r w:rsidRPr="00A26EAC">
        <w:rPr>
          <w:b/>
          <w:spacing w:val="-2"/>
          <w:w w:val="105"/>
        </w:rPr>
        <w:t>законодательства</w:t>
      </w:r>
      <w:r w:rsidRPr="00A26EAC">
        <w:rPr>
          <w:b/>
        </w:rPr>
        <w:t xml:space="preserve"> за</w:t>
      </w:r>
      <w:r w:rsidRPr="00A26EAC">
        <w:rPr>
          <w:b/>
          <w:spacing w:val="13"/>
        </w:rPr>
        <w:t xml:space="preserve"> </w:t>
      </w:r>
      <w:r w:rsidRPr="00A26EAC">
        <w:rPr>
          <w:b/>
        </w:rPr>
        <w:t>2022</w:t>
      </w:r>
      <w:r w:rsidRPr="00A26EAC">
        <w:rPr>
          <w:b/>
          <w:spacing w:val="14"/>
        </w:rPr>
        <w:t xml:space="preserve"> </w:t>
      </w:r>
      <w:r w:rsidRPr="00A26EAC">
        <w:rPr>
          <w:b/>
          <w:spacing w:val="-5"/>
        </w:rPr>
        <w:t>год</w:t>
      </w:r>
    </w:p>
    <w:p w14:paraId="385C96DE" w14:textId="77777777" w:rsidR="00A26EAC" w:rsidRPr="00A26EAC" w:rsidRDefault="00A26EAC" w:rsidP="00304F2D">
      <w:pPr>
        <w:pStyle w:val="a6"/>
        <w:spacing w:before="8"/>
        <w:jc w:val="left"/>
        <w:rPr>
          <w:highlight w:val="yellow"/>
        </w:rPr>
      </w:pPr>
    </w:p>
    <w:p w14:paraId="5314A674" w14:textId="77777777" w:rsidR="00A26EAC" w:rsidRPr="00A26EAC" w:rsidRDefault="00A26EAC" w:rsidP="00304F2D">
      <w:pPr>
        <w:pStyle w:val="a6"/>
        <w:ind w:firstLine="709"/>
      </w:pPr>
      <w:r w:rsidRPr="00A26EAC">
        <w:t>В соответствии с распоряжением Правительства Российской Федерации от 18.10.2018 №</w:t>
      </w:r>
      <w:r w:rsidRPr="00A26EAC">
        <w:rPr>
          <w:spacing w:val="31"/>
        </w:rPr>
        <w:t xml:space="preserve"> </w:t>
      </w:r>
      <w:r w:rsidRPr="00A26EAC">
        <w:t>2258-p</w:t>
      </w:r>
      <w:r w:rsidRPr="00A26EAC">
        <w:rPr>
          <w:spacing w:val="-6"/>
        </w:rPr>
        <w:t xml:space="preserve"> </w:t>
      </w:r>
      <w:r w:rsidRPr="00A26EAC">
        <w:t>«Об</w:t>
      </w:r>
      <w:r w:rsidRPr="00A26EAC">
        <w:rPr>
          <w:spacing w:val="-14"/>
        </w:rPr>
        <w:t xml:space="preserve"> </w:t>
      </w:r>
      <w:r w:rsidRPr="00A26EAC">
        <w:t>утверждении методических рекомендаций</w:t>
      </w:r>
      <w:r w:rsidRPr="00A26EAC">
        <w:rPr>
          <w:spacing w:val="-3"/>
        </w:rPr>
        <w:t xml:space="preserve"> </w:t>
      </w:r>
      <w:r w:rsidRPr="00A26EAC">
        <w:t>по</w:t>
      </w:r>
      <w:r w:rsidRPr="00A26EAC">
        <w:rPr>
          <w:spacing w:val="-11"/>
        </w:rPr>
        <w:t xml:space="preserve"> </w:t>
      </w:r>
      <w:r w:rsidRPr="00A26EAC">
        <w:t xml:space="preserve">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</w:t>
      </w:r>
      <w:r w:rsidRPr="00A26EAC">
        <w:rPr>
          <w:w w:val="90"/>
        </w:rPr>
        <w:t xml:space="preserve">— </w:t>
      </w:r>
      <w:r w:rsidRPr="00A26EAC">
        <w:t>Методические рекомендации) и постановлением администрации Сосновского муниципального района от 17.02.2020 № 136 «</w:t>
      </w:r>
      <w:r w:rsidRPr="00A26EAC">
        <w:rPr>
          <w:bCs/>
        </w:rPr>
        <w:t>Об организации системы внутреннего обеспечения соответствия требованиям антимонопольного законодательства в администрации Сосновского муниципального района Челябинской области (антимонопольный комплаенс</w:t>
      </w:r>
      <w:r w:rsidRPr="00A26EAC">
        <w:t>)»</w:t>
      </w:r>
      <w:r w:rsidRPr="00A26EAC">
        <w:rPr>
          <w:spacing w:val="-17"/>
        </w:rPr>
        <w:t xml:space="preserve"> </w:t>
      </w:r>
      <w:r w:rsidRPr="00A26EAC">
        <w:t>(далее</w:t>
      </w:r>
      <w:r w:rsidRPr="00A26EAC">
        <w:rPr>
          <w:spacing w:val="-18"/>
        </w:rPr>
        <w:t xml:space="preserve"> </w:t>
      </w:r>
      <w:r w:rsidRPr="00A26EAC">
        <w:rPr>
          <w:w w:val="90"/>
        </w:rPr>
        <w:t>—</w:t>
      </w:r>
      <w:r w:rsidRPr="00A26EAC">
        <w:rPr>
          <w:spacing w:val="-10"/>
          <w:w w:val="90"/>
        </w:rPr>
        <w:t xml:space="preserve"> </w:t>
      </w:r>
      <w:r w:rsidRPr="00A26EAC">
        <w:t>постановление</w:t>
      </w:r>
      <w:r w:rsidRPr="00A26EAC">
        <w:rPr>
          <w:spacing w:val="-3"/>
        </w:rPr>
        <w:t xml:space="preserve"> </w:t>
      </w:r>
      <w:r w:rsidRPr="00A26EAC">
        <w:t>от 17.02.2020 № 136)</w:t>
      </w:r>
      <w:r w:rsidRPr="00A26EAC">
        <w:rPr>
          <w:spacing w:val="-17"/>
        </w:rPr>
        <w:t xml:space="preserve"> </w:t>
      </w:r>
      <w:r w:rsidRPr="00A26EAC">
        <w:t>в</w:t>
      </w:r>
      <w:r w:rsidRPr="00A26EAC">
        <w:rPr>
          <w:spacing w:val="-18"/>
        </w:rPr>
        <w:t xml:space="preserve"> </w:t>
      </w:r>
      <w:r w:rsidRPr="00A26EAC">
        <w:t>администрации Сосновского муниципального района</w:t>
      </w:r>
      <w:r w:rsidRPr="00A26EAC">
        <w:rPr>
          <w:spacing w:val="-1"/>
        </w:rPr>
        <w:t xml:space="preserve"> </w:t>
      </w:r>
      <w:r w:rsidRPr="00A26EAC">
        <w:t xml:space="preserve">создана система внутреннего обеспечения соответствия требованиям антимонопольного законодательства (антимонопольный комплаенс), в рамках которой проводятся внутриведомственные мероприятия по выявлению и предупреждению рисков нарушения требований антимонопольного законодательства в деятельности </w:t>
      </w:r>
      <w:r w:rsidRPr="00A26EAC">
        <w:rPr>
          <w:spacing w:val="-2"/>
        </w:rPr>
        <w:t>администрации Сосновского муниципального района.</w:t>
      </w:r>
    </w:p>
    <w:p w14:paraId="5A4287E1" w14:textId="77777777" w:rsidR="00A26EAC" w:rsidRPr="00A26EAC" w:rsidRDefault="00A26EAC" w:rsidP="00304F2D">
      <w:pPr>
        <w:pStyle w:val="a6"/>
        <w:ind w:firstLine="709"/>
      </w:pPr>
      <w:r w:rsidRPr="00A26EAC">
        <w:t>Постановлением администрации Сосновского муниципального района от 17.02.2020 № 136 утверждено Положение об организации системы внутреннего обеспечения соответствия требованиям антимонопольного законодательства в администрации Сосновского муниципального района системы внутреннего обеспечения соответствия требованиям антимонопольного законодательства (антимонопольный</w:t>
      </w:r>
      <w:r w:rsidRPr="00A26EAC">
        <w:rPr>
          <w:spacing w:val="-14"/>
        </w:rPr>
        <w:t xml:space="preserve"> </w:t>
      </w:r>
      <w:r w:rsidRPr="00A26EAC">
        <w:t xml:space="preserve">комплаенс) (далее </w:t>
      </w:r>
      <w:r w:rsidRPr="00A26EAC">
        <w:rPr>
          <w:w w:val="90"/>
        </w:rPr>
        <w:t xml:space="preserve">— </w:t>
      </w:r>
      <w:r w:rsidRPr="00A26EAC">
        <w:t>Положение).</w:t>
      </w:r>
    </w:p>
    <w:p w14:paraId="4563B77A" w14:textId="77777777" w:rsidR="00A26EAC" w:rsidRPr="00A26EAC" w:rsidRDefault="00A26EAC" w:rsidP="00304F2D">
      <w:pPr>
        <w:pStyle w:val="a6"/>
        <w:ind w:firstLine="709"/>
      </w:pPr>
      <w:r w:rsidRPr="00A26EAC">
        <w:t>В целях совершенствования организации антимонопольного комплаенса, Положением подробно урегулирована процедура внутреннего расследования (урегулирование разногласий), связанного с функционированием антимонопольного комплаенса, и конкретизированы положения о порядке формирования и утверждения карты комплаенс-рисков, разработки ключевых показателей эффективности антимонопольного</w:t>
      </w:r>
      <w:r w:rsidRPr="00A26EAC">
        <w:rPr>
          <w:spacing w:val="-16"/>
        </w:rPr>
        <w:t xml:space="preserve"> </w:t>
      </w:r>
      <w:r w:rsidRPr="00A26EAC">
        <w:t>комплаенса и</w:t>
      </w:r>
      <w:r w:rsidRPr="00A26EAC">
        <w:rPr>
          <w:spacing w:val="-6"/>
        </w:rPr>
        <w:t xml:space="preserve"> </w:t>
      </w:r>
      <w:r w:rsidRPr="00A26EAC">
        <w:t>плана мероприятий (дорожной карты) по снижению комплаенс-рисков в администрации Сосновского муниципального района, порядок ознакомления</w:t>
      </w:r>
      <w:r w:rsidRPr="00A26EAC">
        <w:rPr>
          <w:spacing w:val="62"/>
        </w:rPr>
        <w:t xml:space="preserve">  </w:t>
      </w:r>
      <w:r w:rsidRPr="00A26EAC">
        <w:t>сотрудников</w:t>
      </w:r>
      <w:r w:rsidRPr="00A26EAC">
        <w:rPr>
          <w:spacing w:val="70"/>
        </w:rPr>
        <w:t xml:space="preserve">  </w:t>
      </w:r>
      <w:r w:rsidRPr="00A26EAC">
        <w:t>администрации</w:t>
      </w:r>
      <w:r w:rsidRPr="00A26EAC">
        <w:rPr>
          <w:spacing w:val="72"/>
        </w:rPr>
        <w:t xml:space="preserve"> </w:t>
      </w:r>
      <w:r w:rsidRPr="00A26EAC">
        <w:rPr>
          <w:spacing w:val="-2"/>
        </w:rPr>
        <w:t>Сосновского муниципального района</w:t>
      </w:r>
      <w:r w:rsidRPr="00A26EAC">
        <w:rPr>
          <w:spacing w:val="72"/>
        </w:rPr>
        <w:t xml:space="preserve"> </w:t>
      </w:r>
      <w:r w:rsidRPr="00A26EAC">
        <w:t>с</w:t>
      </w:r>
      <w:r w:rsidRPr="00A26EAC">
        <w:rPr>
          <w:spacing w:val="40"/>
        </w:rPr>
        <w:t xml:space="preserve">  </w:t>
      </w:r>
      <w:r w:rsidRPr="00A26EAC">
        <w:t>нормативными</w:t>
      </w:r>
      <w:r w:rsidRPr="00A26EAC">
        <w:rPr>
          <w:spacing w:val="62"/>
        </w:rPr>
        <w:t xml:space="preserve">  </w:t>
      </w:r>
      <w:r w:rsidRPr="00A26EAC">
        <w:t>актами</w:t>
      </w:r>
      <w:r w:rsidRPr="00A26EAC">
        <w:rPr>
          <w:spacing w:val="58"/>
        </w:rPr>
        <w:t xml:space="preserve">  </w:t>
      </w:r>
      <w:r w:rsidRPr="00A26EAC">
        <w:t xml:space="preserve">по </w:t>
      </w:r>
      <w:r w:rsidRPr="00A26EAC">
        <w:rPr>
          <w:w w:val="105"/>
        </w:rPr>
        <w:t>указанным вопросам</w:t>
      </w:r>
      <w:r w:rsidRPr="00A26EAC">
        <w:rPr>
          <w:spacing w:val="-5"/>
          <w:w w:val="105"/>
        </w:rPr>
        <w:t>.</w:t>
      </w:r>
    </w:p>
    <w:p w14:paraId="1D829D03" w14:textId="77777777" w:rsidR="00A26EAC" w:rsidRPr="00A26EAC" w:rsidRDefault="00A26EAC" w:rsidP="00304F2D">
      <w:pPr>
        <w:pStyle w:val="a6"/>
        <w:ind w:firstLine="709"/>
      </w:pPr>
      <w:r w:rsidRPr="00A26EAC">
        <w:t>В течение 2022 года в соответствии с Положением осуществлялось ознакомление и инструктаж работников администрации по вопросам антимонопольного комплаенса.</w:t>
      </w:r>
    </w:p>
    <w:p w14:paraId="36CE3FD3" w14:textId="77777777" w:rsidR="00A26EAC" w:rsidRPr="00A26EAC" w:rsidRDefault="00A26EAC" w:rsidP="00304F2D">
      <w:pPr>
        <w:pStyle w:val="a6"/>
        <w:ind w:firstLine="709"/>
      </w:pPr>
      <w:r w:rsidRPr="00A26EAC">
        <w:t>В рамках антимонопольного комплаенса 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</w:t>
      </w:r>
      <w:r w:rsidRPr="00A26EAC">
        <w:rPr>
          <w:spacing w:val="74"/>
        </w:rPr>
        <w:t xml:space="preserve"> </w:t>
      </w:r>
      <w:r w:rsidRPr="00A26EAC">
        <w:t>акты</w:t>
      </w:r>
      <w:r w:rsidRPr="00A26EAC">
        <w:rPr>
          <w:spacing w:val="69"/>
        </w:rPr>
        <w:t xml:space="preserve"> </w:t>
      </w:r>
      <w:r w:rsidRPr="00A26EAC">
        <w:t>администрации</w:t>
      </w:r>
      <w:r w:rsidRPr="00A26EAC">
        <w:rPr>
          <w:spacing w:val="80"/>
        </w:rPr>
        <w:t xml:space="preserve"> </w:t>
      </w:r>
      <w:r w:rsidRPr="00A26EAC">
        <w:t>2022</w:t>
      </w:r>
      <w:r w:rsidRPr="00A26EAC">
        <w:rPr>
          <w:spacing w:val="69"/>
        </w:rPr>
        <w:t xml:space="preserve"> </w:t>
      </w:r>
      <w:r w:rsidRPr="00A26EAC">
        <w:t>году</w:t>
      </w:r>
      <w:r w:rsidRPr="00A26EAC">
        <w:rPr>
          <w:spacing w:val="72"/>
        </w:rPr>
        <w:t xml:space="preserve"> </w:t>
      </w:r>
      <w:r w:rsidRPr="00A26EAC">
        <w:t>формировались</w:t>
      </w:r>
      <w:r w:rsidRPr="00A26EAC">
        <w:rPr>
          <w:spacing w:val="80"/>
        </w:rPr>
        <w:t xml:space="preserve"> </w:t>
      </w:r>
      <w:r w:rsidRPr="00A26EAC">
        <w:t>и</w:t>
      </w:r>
      <w:r w:rsidRPr="00A26EAC">
        <w:rPr>
          <w:spacing w:val="40"/>
        </w:rPr>
        <w:t xml:space="preserve"> </w:t>
      </w:r>
      <w:r w:rsidRPr="00A26EAC">
        <w:t xml:space="preserve">размещались официальном сайте администрации </w:t>
      </w:r>
      <w:r w:rsidRPr="00A26EAC">
        <w:rPr>
          <w:color w:val="0E0E0E"/>
        </w:rPr>
        <w:t xml:space="preserve">в </w:t>
      </w:r>
      <w:r w:rsidRPr="00A26EAC">
        <w:t xml:space="preserve">разделе «Антимонопольный </w:t>
      </w:r>
      <w:r w:rsidRPr="00A26EAC">
        <w:rPr>
          <w:color w:val="0C0C0C"/>
        </w:rPr>
        <w:t xml:space="preserve">комплаенс» </w:t>
      </w:r>
      <w:r w:rsidRPr="00A26EAC">
        <w:lastRenderedPageBreak/>
        <w:t>исчерпывающие перечни</w:t>
      </w:r>
      <w:r w:rsidRPr="00A26EAC">
        <w:rPr>
          <w:spacing w:val="-9"/>
        </w:rPr>
        <w:t xml:space="preserve"> </w:t>
      </w:r>
      <w:r w:rsidRPr="00A26EAC">
        <w:t>нормативных</w:t>
      </w:r>
      <w:r w:rsidRPr="00A26EAC">
        <w:rPr>
          <w:spacing w:val="-2"/>
        </w:rPr>
        <w:t xml:space="preserve"> </w:t>
      </w:r>
      <w:r w:rsidRPr="00A26EAC">
        <w:t>правовых</w:t>
      </w:r>
      <w:r w:rsidRPr="00A26EAC">
        <w:rPr>
          <w:spacing w:val="-15"/>
        </w:rPr>
        <w:t xml:space="preserve"> </w:t>
      </w:r>
      <w:r w:rsidRPr="00A26EAC">
        <w:t>актов</w:t>
      </w:r>
      <w:r w:rsidRPr="00A26EAC">
        <w:rPr>
          <w:spacing w:val="-11"/>
        </w:rPr>
        <w:t xml:space="preserve"> </w:t>
      </w:r>
      <w:r w:rsidRPr="00A26EAC">
        <w:t>администрации</w:t>
      </w:r>
      <w:r w:rsidRPr="00A26EAC">
        <w:rPr>
          <w:spacing w:val="-2"/>
        </w:rPr>
        <w:t xml:space="preserve"> </w:t>
      </w:r>
      <w:r w:rsidRPr="00A26EAC">
        <w:t>(далее</w:t>
      </w:r>
      <w:r w:rsidRPr="00A26EAC">
        <w:rPr>
          <w:spacing w:val="-13"/>
        </w:rPr>
        <w:t xml:space="preserve"> </w:t>
      </w:r>
      <w:r w:rsidRPr="00A26EAC">
        <w:rPr>
          <w:color w:val="0F0F0F"/>
          <w:w w:val="90"/>
        </w:rPr>
        <w:t xml:space="preserve">— </w:t>
      </w:r>
      <w:r w:rsidRPr="00A26EAC">
        <w:t xml:space="preserve">нормативные акты) с уведомлением о начале сбора замечаний </w:t>
      </w:r>
      <w:r w:rsidRPr="00A26EAC">
        <w:rPr>
          <w:color w:val="0F0F0F"/>
        </w:rPr>
        <w:t xml:space="preserve">и </w:t>
      </w:r>
      <w:r w:rsidRPr="00A26EAC">
        <w:t xml:space="preserve">предложений организаций </w:t>
      </w:r>
      <w:r w:rsidRPr="00A26EAC">
        <w:rPr>
          <w:color w:val="0F0F0F"/>
        </w:rPr>
        <w:t xml:space="preserve">и </w:t>
      </w:r>
      <w:r w:rsidRPr="00A26EAC">
        <w:t xml:space="preserve">граждан. </w:t>
      </w:r>
      <w:r w:rsidRPr="00A26EAC">
        <w:rPr>
          <w:color w:val="0E0E0E"/>
        </w:rPr>
        <w:t xml:space="preserve">При </w:t>
      </w:r>
      <w:r w:rsidRPr="00A26EAC">
        <w:t xml:space="preserve">размещении указанных перечней указывалось обоснование реализации предлагаемых решений, </w:t>
      </w:r>
      <w:r w:rsidRPr="00A26EAC">
        <w:rPr>
          <w:color w:val="0F0F0F"/>
        </w:rPr>
        <w:t xml:space="preserve">в </w:t>
      </w:r>
      <w:r w:rsidRPr="00A26EAC">
        <w:rPr>
          <w:color w:val="0E0E0E"/>
        </w:rPr>
        <w:t xml:space="preserve">том </w:t>
      </w:r>
      <w:r w:rsidRPr="00A26EAC">
        <w:t xml:space="preserve">числе </w:t>
      </w:r>
      <w:r w:rsidRPr="00A26EAC">
        <w:rPr>
          <w:color w:val="0F0F0F"/>
        </w:rPr>
        <w:t xml:space="preserve">их </w:t>
      </w:r>
      <w:r w:rsidRPr="00A26EAC">
        <w:t>влияние на конкуренцию, а</w:t>
      </w:r>
      <w:r w:rsidRPr="00A26EAC">
        <w:rPr>
          <w:spacing w:val="-10"/>
        </w:rPr>
        <w:t xml:space="preserve"> </w:t>
      </w:r>
      <w:r w:rsidRPr="00A26EAC">
        <w:t>также адрес размещения текста нормативного</w:t>
      </w:r>
      <w:r w:rsidRPr="00A26EAC">
        <w:rPr>
          <w:spacing w:val="27"/>
        </w:rPr>
        <w:t xml:space="preserve"> </w:t>
      </w:r>
      <w:r w:rsidRPr="00A26EAC">
        <w:t>правового акта.</w:t>
      </w:r>
    </w:p>
    <w:p w14:paraId="21736349" w14:textId="77777777" w:rsidR="00A26EAC" w:rsidRPr="00A26EAC" w:rsidRDefault="00A26EAC" w:rsidP="00304F2D">
      <w:pPr>
        <w:pStyle w:val="a6"/>
        <w:ind w:firstLine="709"/>
      </w:pPr>
      <w:r w:rsidRPr="00A26EAC">
        <w:t xml:space="preserve">Анализ проектов нормативных правовых актов администрации (далее </w:t>
      </w:r>
      <w:r w:rsidRPr="00A26EAC">
        <w:rPr>
          <w:w w:val="90"/>
        </w:rPr>
        <w:t xml:space="preserve">— </w:t>
      </w:r>
      <w:r w:rsidRPr="00A26EAC">
        <w:t>проекты</w:t>
      </w:r>
      <w:r w:rsidRPr="00A26EAC">
        <w:rPr>
          <w:spacing w:val="-1"/>
        </w:rPr>
        <w:t xml:space="preserve"> </w:t>
      </w:r>
      <w:r w:rsidRPr="00A26EAC">
        <w:t>актов)</w:t>
      </w:r>
      <w:r w:rsidRPr="00A26EAC">
        <w:rPr>
          <w:spacing w:val="-10"/>
        </w:rPr>
        <w:t xml:space="preserve"> </w:t>
      </w:r>
      <w:r w:rsidRPr="00A26EAC">
        <w:rPr>
          <w:color w:val="0C0C0C"/>
        </w:rPr>
        <w:t>на</w:t>
      </w:r>
      <w:r w:rsidRPr="00A26EAC">
        <w:rPr>
          <w:color w:val="0C0C0C"/>
          <w:spacing w:val="-10"/>
        </w:rPr>
        <w:t xml:space="preserve"> </w:t>
      </w:r>
      <w:r w:rsidRPr="00A26EAC">
        <w:rPr>
          <w:color w:val="0C0C0C"/>
        </w:rPr>
        <w:t xml:space="preserve">предмет </w:t>
      </w:r>
      <w:r w:rsidRPr="00A26EAC">
        <w:rPr>
          <w:color w:val="0F0F0F"/>
        </w:rPr>
        <w:t>их</w:t>
      </w:r>
      <w:r w:rsidRPr="00A26EAC">
        <w:rPr>
          <w:color w:val="0F0F0F"/>
          <w:spacing w:val="-7"/>
        </w:rPr>
        <w:t xml:space="preserve"> </w:t>
      </w:r>
      <w:r w:rsidRPr="00A26EAC">
        <w:t>соответствия антимонопольному</w:t>
      </w:r>
      <w:r w:rsidRPr="00A26EAC">
        <w:rPr>
          <w:spacing w:val="-10"/>
        </w:rPr>
        <w:t xml:space="preserve"> </w:t>
      </w:r>
      <w:r w:rsidRPr="00A26EAC">
        <w:t xml:space="preserve">законодательству проводился посредством оценки поступающих замечаний и предложений </w:t>
      </w:r>
      <w:r w:rsidRPr="00A26EAC">
        <w:rPr>
          <w:color w:val="0C0C0C"/>
        </w:rPr>
        <w:t xml:space="preserve">при </w:t>
      </w:r>
      <w:r w:rsidRPr="00A26EAC">
        <w:t xml:space="preserve">размещении </w:t>
      </w:r>
      <w:r w:rsidRPr="00A26EAC">
        <w:rPr>
          <w:color w:val="0C0C0C"/>
        </w:rPr>
        <w:t xml:space="preserve">их </w:t>
      </w:r>
      <w:r w:rsidRPr="00A26EAC">
        <w:t xml:space="preserve">на официальном </w:t>
      </w:r>
      <w:r w:rsidRPr="00A26EAC">
        <w:rPr>
          <w:color w:val="0E0E0E"/>
        </w:rPr>
        <w:t xml:space="preserve">сайте </w:t>
      </w:r>
      <w:r w:rsidRPr="00A26EAC">
        <w:t xml:space="preserve">для размещения информации </w:t>
      </w:r>
      <w:r w:rsidRPr="00A26EAC">
        <w:rPr>
          <w:color w:val="0F0F0F"/>
        </w:rPr>
        <w:t>о</w:t>
      </w:r>
      <w:r w:rsidRPr="00A26EAC">
        <w:rPr>
          <w:color w:val="0F0F0F"/>
          <w:spacing w:val="40"/>
        </w:rPr>
        <w:t xml:space="preserve"> </w:t>
      </w:r>
      <w:r w:rsidRPr="00A26EAC">
        <w:t xml:space="preserve">подготовке администрацией проектов нормативных правовых актов </w:t>
      </w:r>
      <w:r w:rsidRPr="00A26EAC">
        <w:rPr>
          <w:color w:val="0F0F0F"/>
        </w:rPr>
        <w:t xml:space="preserve">и </w:t>
      </w:r>
      <w:r w:rsidRPr="00A26EAC">
        <w:t xml:space="preserve">результатах их общественного обсуждения </w:t>
      </w:r>
      <w:r w:rsidRPr="00A26EAC">
        <w:rPr>
          <w:color w:val="0F0F0F"/>
        </w:rPr>
        <w:t xml:space="preserve">на </w:t>
      </w:r>
      <w:r w:rsidRPr="00A26EAC">
        <w:t xml:space="preserve">официальном сайте администрации </w:t>
      </w:r>
      <w:r w:rsidRPr="00A26EAC">
        <w:rPr>
          <w:spacing w:val="-2"/>
        </w:rPr>
        <w:t>Сосновского муниципального района</w:t>
      </w:r>
      <w:r w:rsidRPr="00A26EAC">
        <w:t xml:space="preserve"> в разделе «проектов </w:t>
      </w:r>
      <w:r w:rsidRPr="00A26EAC">
        <w:rPr>
          <w:color w:val="0E0E0E"/>
        </w:rPr>
        <w:t>HПA».</w:t>
      </w:r>
    </w:p>
    <w:p w14:paraId="62B4B4FE" w14:textId="77777777" w:rsidR="00A26EAC" w:rsidRPr="00A26EAC" w:rsidRDefault="00A26EAC" w:rsidP="00304F2D">
      <w:pPr>
        <w:pStyle w:val="a6"/>
        <w:ind w:firstLine="709"/>
      </w:pPr>
      <w:r w:rsidRPr="00A26EAC">
        <w:t xml:space="preserve">Замечания и предложения организаций и </w:t>
      </w:r>
      <w:r w:rsidRPr="00A26EAC">
        <w:rPr>
          <w:color w:val="0C0C0C"/>
        </w:rPr>
        <w:t xml:space="preserve">граждан </w:t>
      </w:r>
      <w:r w:rsidRPr="00A26EAC">
        <w:rPr>
          <w:color w:val="0F0F0F"/>
        </w:rPr>
        <w:t xml:space="preserve">к </w:t>
      </w:r>
      <w:r w:rsidRPr="00A26EAC">
        <w:t xml:space="preserve">нормативным актам </w:t>
      </w:r>
      <w:r w:rsidRPr="00A26EAC">
        <w:rPr>
          <w:color w:val="0F0F0F"/>
        </w:rPr>
        <w:t xml:space="preserve">и </w:t>
      </w:r>
      <w:r w:rsidRPr="00A26EAC">
        <w:t xml:space="preserve">проектам актов, подготовленных администрацией </w:t>
      </w:r>
      <w:r w:rsidRPr="00A26EAC">
        <w:rPr>
          <w:spacing w:val="-2"/>
        </w:rPr>
        <w:t>Сосновского муниципального района</w:t>
      </w:r>
      <w:r w:rsidRPr="00A26EAC">
        <w:t xml:space="preserve">, по приведению их </w:t>
      </w:r>
      <w:r w:rsidRPr="00A26EAC">
        <w:rPr>
          <w:color w:val="0E0E0E"/>
        </w:rPr>
        <w:t xml:space="preserve">в </w:t>
      </w:r>
      <w:r w:rsidRPr="00A26EAC">
        <w:t>соответствие с</w:t>
      </w:r>
      <w:r w:rsidRPr="00A26EAC">
        <w:rPr>
          <w:spacing w:val="-2"/>
        </w:rPr>
        <w:t xml:space="preserve"> </w:t>
      </w:r>
      <w:r w:rsidRPr="00A26EAC">
        <w:t>антимонопольным</w:t>
      </w:r>
      <w:r w:rsidRPr="00A26EAC">
        <w:rPr>
          <w:spacing w:val="-2"/>
        </w:rPr>
        <w:t xml:space="preserve"> </w:t>
      </w:r>
      <w:r w:rsidRPr="00A26EAC">
        <w:t xml:space="preserve">законодательством в 2022 году </w:t>
      </w:r>
      <w:r w:rsidRPr="00A26EAC">
        <w:rPr>
          <w:color w:val="0F0F0F"/>
        </w:rPr>
        <w:t xml:space="preserve">не </w:t>
      </w:r>
      <w:r w:rsidRPr="00A26EAC">
        <w:t>поступали.</w:t>
      </w:r>
    </w:p>
    <w:p w14:paraId="49906D6F" w14:textId="77777777" w:rsidR="00A26EAC" w:rsidRPr="00A26EAC" w:rsidRDefault="00A26EAC" w:rsidP="00304F2D">
      <w:pPr>
        <w:pStyle w:val="a6"/>
        <w:ind w:firstLine="709"/>
      </w:pPr>
      <w:r w:rsidRPr="00A26EAC">
        <w:t xml:space="preserve">Информации </w:t>
      </w:r>
      <w:r w:rsidRPr="00A26EAC">
        <w:rPr>
          <w:color w:val="0F0F0F"/>
        </w:rPr>
        <w:t xml:space="preserve">о </w:t>
      </w:r>
      <w:r w:rsidRPr="00A26EAC">
        <w:rPr>
          <w:color w:val="0C0C0C"/>
        </w:rPr>
        <w:t xml:space="preserve">выявлении </w:t>
      </w:r>
      <w:r w:rsidRPr="00A26EAC">
        <w:t xml:space="preserve">Федеральной антимонопольной службой (ФАС России) </w:t>
      </w:r>
      <w:r w:rsidRPr="00A26EAC">
        <w:rPr>
          <w:color w:val="0F0F0F"/>
        </w:rPr>
        <w:t xml:space="preserve">в </w:t>
      </w:r>
      <w:r w:rsidRPr="00A26EAC">
        <w:t xml:space="preserve">нормативных актах (проектах актов) администрации </w:t>
      </w:r>
      <w:r w:rsidRPr="00A26EAC">
        <w:rPr>
          <w:spacing w:val="-2"/>
        </w:rPr>
        <w:t>Сосновского муниципального района</w:t>
      </w:r>
      <w:r w:rsidRPr="00A26EAC">
        <w:t xml:space="preserve"> положений, нарушающих требования антимонопольного законодательства, в </w:t>
      </w:r>
      <w:r w:rsidRPr="00A26EAC">
        <w:rPr>
          <w:color w:val="0C0C0C"/>
        </w:rPr>
        <w:t xml:space="preserve">2022 году не </w:t>
      </w:r>
      <w:r w:rsidRPr="00A26EAC">
        <w:rPr>
          <w:spacing w:val="-2"/>
        </w:rPr>
        <w:t>имеется.</w:t>
      </w:r>
    </w:p>
    <w:p w14:paraId="44C30A26" w14:textId="77777777" w:rsidR="00A26EAC" w:rsidRPr="00A26EAC" w:rsidRDefault="00A26EAC" w:rsidP="00304F2D">
      <w:pPr>
        <w:pStyle w:val="a6"/>
        <w:ind w:firstLine="709"/>
      </w:pPr>
      <w:r w:rsidRPr="00A26EAC">
        <w:t xml:space="preserve">По </w:t>
      </w:r>
      <w:r w:rsidRPr="00A26EAC">
        <w:rPr>
          <w:color w:val="0C0C0C"/>
        </w:rPr>
        <w:t xml:space="preserve">итогам проведенного </w:t>
      </w:r>
      <w:r w:rsidRPr="00A26EAC">
        <w:t xml:space="preserve">анализа нормативных актов (проектов актов) Администрацией сделан вывод </w:t>
      </w:r>
      <w:r w:rsidRPr="00A26EAC">
        <w:rPr>
          <w:color w:val="0E0E0E"/>
        </w:rPr>
        <w:t xml:space="preserve">об </w:t>
      </w:r>
      <w:r w:rsidRPr="00A26EAC">
        <w:rPr>
          <w:color w:val="0F0F0F"/>
        </w:rPr>
        <w:t xml:space="preserve">их </w:t>
      </w:r>
      <w:r w:rsidRPr="00A26EAC">
        <w:t xml:space="preserve">соответствии антимонопольному законодательству </w:t>
      </w:r>
      <w:r w:rsidRPr="00A26EAC">
        <w:rPr>
          <w:color w:val="0C0C0C"/>
        </w:rPr>
        <w:t xml:space="preserve">и </w:t>
      </w:r>
      <w:r w:rsidRPr="00A26EAC">
        <w:t>нецелесообразности</w:t>
      </w:r>
      <w:r w:rsidRPr="00A26EAC">
        <w:rPr>
          <w:spacing w:val="-5"/>
        </w:rPr>
        <w:t xml:space="preserve"> </w:t>
      </w:r>
      <w:r w:rsidRPr="00A26EAC">
        <w:t xml:space="preserve">внесения </w:t>
      </w:r>
      <w:r w:rsidRPr="00A26EAC">
        <w:rPr>
          <w:color w:val="0F0F0F"/>
        </w:rPr>
        <w:t xml:space="preserve">в </w:t>
      </w:r>
      <w:r w:rsidRPr="00A26EAC">
        <w:rPr>
          <w:color w:val="0E0E0E"/>
        </w:rPr>
        <w:t xml:space="preserve">них </w:t>
      </w:r>
      <w:r w:rsidRPr="00A26EAC">
        <w:t>изменений.</w:t>
      </w:r>
    </w:p>
    <w:p w14:paraId="096930F2" w14:textId="77777777" w:rsidR="00A26EAC" w:rsidRPr="00A26EAC" w:rsidRDefault="00A26EAC" w:rsidP="00304F2D">
      <w:pPr>
        <w:pStyle w:val="a6"/>
        <w:ind w:firstLine="709"/>
      </w:pPr>
      <w:r w:rsidRPr="00A26EAC">
        <w:t xml:space="preserve">Администрацией проведен анализ выявленных нарушений антимонопольного законодательства </w:t>
      </w:r>
      <w:r w:rsidRPr="00A26EAC">
        <w:rPr>
          <w:color w:val="111111"/>
        </w:rPr>
        <w:t xml:space="preserve">в </w:t>
      </w:r>
      <w:r w:rsidRPr="00A26EAC">
        <w:t xml:space="preserve">деятельности администрации </w:t>
      </w:r>
      <w:r w:rsidRPr="00A26EAC">
        <w:rPr>
          <w:spacing w:val="-2"/>
        </w:rPr>
        <w:t>Сосновского муниципального района</w:t>
      </w:r>
      <w:r w:rsidRPr="00A26EAC">
        <w:t xml:space="preserve"> в 2022</w:t>
      </w:r>
      <w:r w:rsidRPr="00A26EAC">
        <w:rPr>
          <w:spacing w:val="40"/>
        </w:rPr>
        <w:t xml:space="preserve"> </w:t>
      </w:r>
      <w:r w:rsidRPr="00A26EAC">
        <w:rPr>
          <w:color w:val="0C0C0C"/>
        </w:rPr>
        <w:t xml:space="preserve">году, </w:t>
      </w:r>
      <w:r w:rsidRPr="00A26EAC">
        <w:t xml:space="preserve">который </w:t>
      </w:r>
      <w:r w:rsidRPr="00A26EAC">
        <w:rPr>
          <w:color w:val="0C0C0C"/>
        </w:rPr>
        <w:t xml:space="preserve">показал </w:t>
      </w:r>
      <w:r w:rsidRPr="00A26EAC">
        <w:t>следующее.</w:t>
      </w:r>
    </w:p>
    <w:p w14:paraId="23875EED" w14:textId="77777777" w:rsidR="00A26EAC" w:rsidRPr="00A26EAC" w:rsidRDefault="00A26EAC" w:rsidP="00304F2D">
      <w:pPr>
        <w:pStyle w:val="a6"/>
        <w:ind w:firstLine="709"/>
      </w:pPr>
      <w:r w:rsidRPr="00A26EAC">
        <w:t xml:space="preserve">За </w:t>
      </w:r>
      <w:r w:rsidRPr="00A26EAC">
        <w:rPr>
          <w:color w:val="0E0E0E"/>
        </w:rPr>
        <w:t xml:space="preserve">период </w:t>
      </w:r>
      <w:r w:rsidRPr="00A26EAC">
        <w:t xml:space="preserve">2022 </w:t>
      </w:r>
      <w:r w:rsidRPr="00A26EAC">
        <w:rPr>
          <w:color w:val="0F0F0F"/>
        </w:rPr>
        <w:t xml:space="preserve">года </w:t>
      </w:r>
      <w:r w:rsidRPr="00A26EAC">
        <w:t xml:space="preserve">нарушений </w:t>
      </w:r>
      <w:r w:rsidRPr="00A26EAC">
        <w:rPr>
          <w:color w:val="0C0C0C"/>
        </w:rPr>
        <w:t xml:space="preserve">антимонопольного </w:t>
      </w:r>
      <w:r w:rsidRPr="00A26EAC">
        <w:t xml:space="preserve">законодательства </w:t>
      </w:r>
      <w:r w:rsidRPr="00A26EAC">
        <w:rPr>
          <w:color w:val="0F0F0F"/>
        </w:rPr>
        <w:t xml:space="preserve">в </w:t>
      </w:r>
      <w:r w:rsidRPr="00A26EAC">
        <w:t>деятельности</w:t>
      </w:r>
      <w:r w:rsidRPr="00A26EAC">
        <w:rPr>
          <w:spacing w:val="40"/>
        </w:rPr>
        <w:t xml:space="preserve"> </w:t>
      </w:r>
      <w:r w:rsidRPr="00A26EAC">
        <w:t>Администрации</w:t>
      </w:r>
      <w:r w:rsidRPr="00A26EAC">
        <w:rPr>
          <w:spacing w:val="40"/>
        </w:rPr>
        <w:t xml:space="preserve"> </w:t>
      </w:r>
      <w:r w:rsidRPr="00A26EAC">
        <w:t>не выявлено.</w:t>
      </w:r>
    </w:p>
    <w:p w14:paraId="1B51679E" w14:textId="77777777" w:rsidR="00A26EAC" w:rsidRPr="00A26EAC" w:rsidRDefault="00A26EAC" w:rsidP="00304F2D">
      <w:pPr>
        <w:pStyle w:val="a6"/>
        <w:ind w:firstLine="709"/>
      </w:pPr>
      <w:r w:rsidRPr="00A26EAC">
        <w:t xml:space="preserve">При проведении закупок в соответствии </w:t>
      </w:r>
      <w:r w:rsidRPr="00A26EAC">
        <w:rPr>
          <w:color w:val="0C0C0C"/>
        </w:rPr>
        <w:t xml:space="preserve">с </w:t>
      </w:r>
      <w:r w:rsidRPr="00A26EAC">
        <w:t>Федеральным законом от 5</w:t>
      </w:r>
      <w:r w:rsidRPr="00A26EAC">
        <w:rPr>
          <w:spacing w:val="40"/>
        </w:rPr>
        <w:t> </w:t>
      </w:r>
      <w:r w:rsidRPr="00A26EAC">
        <w:t>апреля 2013</w:t>
      </w:r>
      <w:r w:rsidRPr="00A26EAC">
        <w:rPr>
          <w:spacing w:val="-2"/>
        </w:rPr>
        <w:t xml:space="preserve"> </w:t>
      </w:r>
      <w:r w:rsidRPr="00A26EAC">
        <w:t>г.</w:t>
      </w:r>
      <w:r w:rsidRPr="00A26EAC">
        <w:rPr>
          <w:spacing w:val="-9"/>
        </w:rPr>
        <w:t xml:space="preserve"> </w:t>
      </w:r>
      <w:r w:rsidRPr="00A26EAC">
        <w:rPr>
          <w:color w:val="0C0C0C"/>
        </w:rPr>
        <w:t>№</w:t>
      </w:r>
      <w:r w:rsidRPr="00A26EAC">
        <w:rPr>
          <w:color w:val="0C0C0C"/>
          <w:spacing w:val="37"/>
        </w:rPr>
        <w:t xml:space="preserve"> </w:t>
      </w:r>
      <w:r w:rsidRPr="00A26EAC">
        <w:t>44-ФЗ</w:t>
      </w:r>
      <w:r w:rsidRPr="00A26EAC">
        <w:rPr>
          <w:spacing w:val="-1"/>
        </w:rPr>
        <w:t xml:space="preserve"> </w:t>
      </w:r>
      <w:r w:rsidRPr="00A26EAC">
        <w:rPr>
          <w:color w:val="0C0C0C"/>
        </w:rPr>
        <w:t>«О</w:t>
      </w:r>
      <w:r w:rsidRPr="00A26EAC">
        <w:rPr>
          <w:color w:val="0C0C0C"/>
          <w:spacing w:val="-3"/>
        </w:rPr>
        <w:t xml:space="preserve"> </w:t>
      </w:r>
      <w:r w:rsidRPr="00A26EAC">
        <w:t xml:space="preserve">контрактной системе </w:t>
      </w:r>
      <w:r w:rsidRPr="00A26EAC">
        <w:rPr>
          <w:color w:val="0C0C0C"/>
        </w:rPr>
        <w:t>в</w:t>
      </w:r>
      <w:r w:rsidRPr="00A26EAC">
        <w:rPr>
          <w:color w:val="0C0C0C"/>
          <w:spacing w:val="-7"/>
        </w:rPr>
        <w:t xml:space="preserve"> </w:t>
      </w:r>
      <w:r w:rsidRPr="00A26EAC">
        <w:t>сфере</w:t>
      </w:r>
      <w:r w:rsidRPr="00A26EAC">
        <w:rPr>
          <w:spacing w:val="-3"/>
        </w:rPr>
        <w:t xml:space="preserve"> </w:t>
      </w:r>
      <w:r w:rsidRPr="00A26EAC">
        <w:t xml:space="preserve">закупок товаров, работ, </w:t>
      </w:r>
      <w:r w:rsidRPr="00A26EAC">
        <w:rPr>
          <w:color w:val="0C0C0C"/>
        </w:rPr>
        <w:t xml:space="preserve">услуг </w:t>
      </w:r>
      <w:r w:rsidRPr="00A26EAC">
        <w:rPr>
          <w:color w:val="0F0F0F"/>
        </w:rPr>
        <w:t xml:space="preserve">для </w:t>
      </w:r>
      <w:r w:rsidRPr="00A26EAC">
        <w:t xml:space="preserve">обеспечения государственных </w:t>
      </w:r>
      <w:r w:rsidRPr="00A26EAC">
        <w:rPr>
          <w:color w:val="111111"/>
        </w:rPr>
        <w:t xml:space="preserve">и </w:t>
      </w:r>
      <w:r w:rsidRPr="00A26EAC">
        <w:t xml:space="preserve">муниципальных </w:t>
      </w:r>
      <w:r w:rsidRPr="00A26EAC">
        <w:rPr>
          <w:color w:val="0C0C0C"/>
        </w:rPr>
        <w:t xml:space="preserve">нужд», </w:t>
      </w:r>
      <w:r w:rsidRPr="00A26EAC">
        <w:t>Администрация</w:t>
      </w:r>
      <w:r w:rsidRPr="00A26EAC">
        <w:rPr>
          <w:spacing w:val="35"/>
        </w:rPr>
        <w:t xml:space="preserve"> </w:t>
      </w:r>
      <w:r w:rsidRPr="00A26EAC">
        <w:t xml:space="preserve">выступает в качестве заказчика </w:t>
      </w:r>
      <w:r w:rsidRPr="00A26EAC">
        <w:rPr>
          <w:color w:val="0E0E0E"/>
        </w:rPr>
        <w:t>и</w:t>
      </w:r>
      <w:r w:rsidRPr="00A26EAC">
        <w:rPr>
          <w:color w:val="0E0E0E"/>
          <w:spacing w:val="-1"/>
        </w:rPr>
        <w:t xml:space="preserve"> </w:t>
      </w:r>
      <w:r w:rsidRPr="00A26EAC">
        <w:t>уполномоченного органа.</w:t>
      </w:r>
    </w:p>
    <w:p w14:paraId="1D00D0BF" w14:textId="77777777" w:rsidR="00A26EAC" w:rsidRPr="00A26EAC" w:rsidRDefault="00A26EAC" w:rsidP="00304F2D">
      <w:pPr>
        <w:pStyle w:val="a6"/>
        <w:ind w:firstLine="709"/>
      </w:pPr>
      <w:r w:rsidRPr="00A26EAC">
        <w:t xml:space="preserve">За </w:t>
      </w:r>
      <w:r w:rsidRPr="00A26EAC">
        <w:rPr>
          <w:color w:val="0C0C0C"/>
        </w:rPr>
        <w:t xml:space="preserve">2022 год </w:t>
      </w:r>
      <w:r w:rsidRPr="00A26EAC">
        <w:t xml:space="preserve">в адрес Управления Федеральной антимонопольной службы </w:t>
      </w:r>
      <w:r w:rsidRPr="00A26EAC">
        <w:rPr>
          <w:color w:val="0C0C0C"/>
        </w:rPr>
        <w:t xml:space="preserve">по </w:t>
      </w:r>
      <w:r w:rsidRPr="00A26EAC">
        <w:t xml:space="preserve">Челябинской области (далее </w:t>
      </w:r>
      <w:r w:rsidRPr="00A26EAC">
        <w:rPr>
          <w:w w:val="90"/>
        </w:rPr>
        <w:t xml:space="preserve">— </w:t>
      </w:r>
      <w:r w:rsidRPr="00A26EAC">
        <w:t xml:space="preserve">УФАС) </w:t>
      </w:r>
      <w:r w:rsidRPr="00A26EAC">
        <w:rPr>
          <w:color w:val="0C0C0C"/>
        </w:rPr>
        <w:t xml:space="preserve">в </w:t>
      </w:r>
      <w:r w:rsidRPr="00A26EAC">
        <w:t xml:space="preserve">отношении закупок, размещенных администрацией, как уполномоченным органом поступило </w:t>
      </w:r>
      <w:r w:rsidRPr="00A26EAC">
        <w:rPr>
          <w:color w:val="0F0F0F"/>
        </w:rPr>
        <w:t xml:space="preserve">4 </w:t>
      </w:r>
      <w:r w:rsidRPr="00A26EAC">
        <w:t xml:space="preserve">жалобы: из них обоснованными признаны 2 жалоб, 2 признаны необоснованными – по ним удалось доказать правомерность установленных требований к предметам закупок, требованиям к участникам закупок.  </w:t>
      </w:r>
    </w:p>
    <w:p w14:paraId="4354F9A4" w14:textId="77777777" w:rsidR="00A26EAC" w:rsidRPr="00A26EAC" w:rsidRDefault="00A26EAC" w:rsidP="00304F2D">
      <w:pPr>
        <w:pStyle w:val="a6"/>
        <w:ind w:firstLine="709"/>
      </w:pPr>
      <w:r w:rsidRPr="00A26EAC">
        <w:t xml:space="preserve">По жалобам, признанным обоснованными УФАС выданы предписания об устранении выявленных нарушений, которые исполнены своевременно и в полном объеме. </w:t>
      </w:r>
    </w:p>
    <w:p w14:paraId="2DF9E2A5" w14:textId="77777777" w:rsidR="00A26EAC" w:rsidRPr="00A26EAC" w:rsidRDefault="00A26EAC" w:rsidP="00304F2D">
      <w:pPr>
        <w:pStyle w:val="a6"/>
        <w:ind w:firstLine="709"/>
      </w:pPr>
      <w:r w:rsidRPr="00A26EAC">
        <w:t xml:space="preserve">Кроме того, за 2022 года в отношение трех сотрудников администрации Сосновского муниципального района было возбуждено четыре дела об административном правонарушении в сфере осуществления закупок товаров, работ, услуг для муниципальных нужд. Применены наказания в форме </w:t>
      </w:r>
      <w:r w:rsidRPr="00A26EAC">
        <w:lastRenderedPageBreak/>
        <w:t xml:space="preserve">предупреждена за совершение правонарушения. </w:t>
      </w:r>
    </w:p>
    <w:p w14:paraId="66789427" w14:textId="77777777" w:rsidR="00A26EAC" w:rsidRPr="00A26EAC" w:rsidRDefault="00A26EAC" w:rsidP="00304F2D">
      <w:pPr>
        <w:pStyle w:val="a6"/>
        <w:ind w:firstLine="709"/>
      </w:pPr>
      <w:r w:rsidRPr="00A26EAC">
        <w:t>Для предотвращения допущенных нарушений законодательства в сфере закупок (Федерального закона № 44 – ФЗ и иных правовых актов, регулирующих данную сферу) проводятся работы на постоянной основе по повышению правовой грамотности сотрудников; повешение профессиональной подготовки сотрудников (самообразование, повышение квалификации, образовательные мероприятия – семинары, вебинары); мониторинг изменений закупочного законодательства.</w:t>
      </w:r>
    </w:p>
    <w:p w14:paraId="3AD88F8F" w14:textId="77777777" w:rsidR="00A26EAC" w:rsidRPr="00A26EAC" w:rsidRDefault="00A26EAC" w:rsidP="00304F2D">
      <w:pPr>
        <w:pStyle w:val="a6"/>
        <w:ind w:firstLine="709"/>
      </w:pPr>
      <w:r w:rsidRPr="00A26EAC"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14:paraId="2108304D" w14:textId="77777777" w:rsidR="00A26EAC" w:rsidRPr="00A26EAC" w:rsidRDefault="00A26EAC" w:rsidP="00304F2D">
      <w:pPr>
        <w:pStyle w:val="a6"/>
        <w:ind w:firstLine="709"/>
      </w:pPr>
      <w:r w:rsidRPr="00A26EAC">
        <w:rPr>
          <w:color w:val="0C0C0C"/>
        </w:rPr>
        <w:t xml:space="preserve">На </w:t>
      </w:r>
      <w:r w:rsidRPr="00A26EAC">
        <w:t xml:space="preserve">основе проведенной </w:t>
      </w:r>
      <w:r w:rsidRPr="00A26EAC">
        <w:rPr>
          <w:color w:val="0C0C0C"/>
        </w:rPr>
        <w:t xml:space="preserve">оценки рисков </w:t>
      </w:r>
      <w:r w:rsidRPr="00A26EAC">
        <w:t>нарушения антимонопольного законодательства</w:t>
      </w:r>
      <w:r w:rsidRPr="00A26EAC">
        <w:rPr>
          <w:spacing w:val="-6"/>
        </w:rPr>
        <w:t xml:space="preserve"> </w:t>
      </w:r>
      <w:r w:rsidRPr="00A26EAC">
        <w:t xml:space="preserve">была разработана </w:t>
      </w:r>
      <w:r w:rsidRPr="00A26EAC">
        <w:rPr>
          <w:color w:val="0E0E0E"/>
        </w:rPr>
        <w:t xml:space="preserve">карта </w:t>
      </w:r>
      <w:r w:rsidRPr="00A26EAC">
        <w:t>комплаенс-рисков,</w:t>
      </w:r>
      <w:r w:rsidRPr="00A26EAC">
        <w:rPr>
          <w:spacing w:val="-13"/>
        </w:rPr>
        <w:t xml:space="preserve"> </w:t>
      </w:r>
      <w:r w:rsidRPr="00A26EAC">
        <w:t xml:space="preserve">включающая </w:t>
      </w:r>
      <w:r w:rsidRPr="00A26EAC">
        <w:rPr>
          <w:color w:val="0C0C0C"/>
        </w:rPr>
        <w:t>в</w:t>
      </w:r>
      <w:r w:rsidRPr="00A26EAC">
        <w:rPr>
          <w:color w:val="0C0C0C"/>
          <w:spacing w:val="-1"/>
        </w:rPr>
        <w:t xml:space="preserve"> </w:t>
      </w:r>
      <w:r w:rsidRPr="00A26EAC">
        <w:rPr>
          <w:color w:val="0C0C0C"/>
        </w:rPr>
        <w:t xml:space="preserve">себя </w:t>
      </w:r>
      <w:r w:rsidRPr="00A26EAC">
        <w:t>указание на</w:t>
      </w:r>
      <w:r w:rsidRPr="00A26EAC">
        <w:rPr>
          <w:spacing w:val="-5"/>
        </w:rPr>
        <w:t xml:space="preserve"> </w:t>
      </w:r>
      <w:r w:rsidRPr="00A26EAC">
        <w:t xml:space="preserve">уровень </w:t>
      </w:r>
      <w:r w:rsidRPr="00A26EAC">
        <w:rPr>
          <w:color w:val="0E0E0E"/>
        </w:rPr>
        <w:t xml:space="preserve">риска, </w:t>
      </w:r>
      <w:r w:rsidRPr="00A26EAC">
        <w:t>описание его</w:t>
      </w:r>
      <w:r w:rsidRPr="00A26EAC">
        <w:rPr>
          <w:spacing w:val="-2"/>
        </w:rPr>
        <w:t xml:space="preserve"> </w:t>
      </w:r>
      <w:r w:rsidRPr="00A26EAC">
        <w:t>вида,</w:t>
      </w:r>
      <w:r w:rsidRPr="00A26EAC">
        <w:rPr>
          <w:spacing w:val="-1"/>
        </w:rPr>
        <w:t xml:space="preserve"> </w:t>
      </w:r>
      <w:r w:rsidRPr="00A26EAC">
        <w:t xml:space="preserve">причин </w:t>
      </w:r>
      <w:r w:rsidRPr="00A26EAC">
        <w:rPr>
          <w:color w:val="0F0F0F"/>
        </w:rPr>
        <w:t>и</w:t>
      </w:r>
      <w:r w:rsidRPr="00A26EAC">
        <w:rPr>
          <w:color w:val="0F0F0F"/>
          <w:spacing w:val="-2"/>
        </w:rPr>
        <w:t xml:space="preserve"> </w:t>
      </w:r>
      <w:r w:rsidRPr="00A26EAC">
        <w:rPr>
          <w:color w:val="0C0C0C"/>
        </w:rPr>
        <w:t xml:space="preserve">условий </w:t>
      </w:r>
      <w:r w:rsidRPr="00A26EAC">
        <w:t xml:space="preserve">возникновения, общие меры </w:t>
      </w:r>
      <w:r w:rsidRPr="00A26EAC">
        <w:rPr>
          <w:color w:val="0C0C0C"/>
        </w:rPr>
        <w:t xml:space="preserve">по </w:t>
      </w:r>
      <w:r w:rsidRPr="00A26EAC">
        <w:t xml:space="preserve">минимизации и устранению рисков (далее </w:t>
      </w:r>
      <w:r w:rsidRPr="00A26EAC">
        <w:rPr>
          <w:color w:val="111111"/>
          <w:w w:val="90"/>
        </w:rPr>
        <w:t xml:space="preserve">— </w:t>
      </w:r>
      <w:r w:rsidRPr="00A26EAC">
        <w:t xml:space="preserve">карта </w:t>
      </w:r>
      <w:r w:rsidRPr="00A26EAC">
        <w:rPr>
          <w:color w:val="0C0C0C"/>
        </w:rPr>
        <w:t xml:space="preserve">комплаенс- </w:t>
      </w:r>
      <w:r w:rsidRPr="00A26EAC">
        <w:rPr>
          <w:spacing w:val="-2"/>
        </w:rPr>
        <w:t>рисков).</w:t>
      </w:r>
    </w:p>
    <w:p w14:paraId="5231BB29" w14:textId="77777777" w:rsidR="00A26EAC" w:rsidRPr="00A26EAC" w:rsidRDefault="00A26EAC" w:rsidP="00304F2D">
      <w:pPr>
        <w:pStyle w:val="a6"/>
        <w:ind w:firstLine="709"/>
      </w:pPr>
      <w:r w:rsidRPr="00A26EAC">
        <w:t>Общими мерами по минимизации и устранению рисков признаны и включены в Карту комплаенс-рисков: контроль соблюдения антимонопольного законодательства в текущей деятельности; анализ проектов</w:t>
      </w:r>
      <w:r w:rsidRPr="00A26EAC">
        <w:rPr>
          <w:spacing w:val="40"/>
        </w:rPr>
        <w:t xml:space="preserve"> </w:t>
      </w:r>
      <w:r w:rsidRPr="00A26EAC">
        <w:t xml:space="preserve">нормативно- правовых актов на соответствие требованиям антимонопольного законодательства; контроль за соблюдением требований законодательства в сфере закупок; мониторинг и анализ практики применения антимпонопольного законодательства; мониторинг изменений законодательства в сфере закупок; повышение уровня квалификации муниципальных служащих (программы повышения квалификации, семинары, вебинары, самообразование); проведение </w:t>
      </w:r>
      <w:r w:rsidRPr="00A26EAC">
        <w:rPr>
          <w:spacing w:val="-2"/>
        </w:rPr>
        <w:t>аттестации.</w:t>
      </w:r>
    </w:p>
    <w:p w14:paraId="58E5EEC8" w14:textId="77777777" w:rsidR="00A26EAC" w:rsidRPr="00A26EAC" w:rsidRDefault="00A26EAC" w:rsidP="00304F2D">
      <w:pPr>
        <w:pStyle w:val="a6"/>
        <w:ind w:firstLine="709"/>
      </w:pPr>
      <w:r w:rsidRPr="00A26EAC">
        <w:t xml:space="preserve">В соответствии с Методикой расчета ключевых показателей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05.02.2019 № 133/19, разработаны ключевые показатели эффективности функционирования антимонопольного комплаенса (далее </w:t>
      </w:r>
      <w:r w:rsidRPr="00A26EAC">
        <w:rPr>
          <w:w w:val="90"/>
        </w:rPr>
        <w:t xml:space="preserve">— </w:t>
      </w:r>
      <w:r w:rsidRPr="00A26EAC">
        <w:t>ключевые показатели) в</w:t>
      </w:r>
      <w:r w:rsidRPr="00A26EAC">
        <w:rPr>
          <w:spacing w:val="-1"/>
        </w:rPr>
        <w:t xml:space="preserve"> </w:t>
      </w:r>
      <w:r w:rsidRPr="00A26EAC">
        <w:t>администрации Сосновского муниципального района (Приложение 1).</w:t>
      </w:r>
    </w:p>
    <w:p w14:paraId="08065529" w14:textId="77777777" w:rsidR="00A26EAC" w:rsidRPr="00A26EAC" w:rsidRDefault="00A26EAC" w:rsidP="0030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AC">
        <w:rPr>
          <w:rFonts w:ascii="Times New Roman" w:hAnsi="Times New Roman" w:cs="Times New Roman"/>
          <w:sz w:val="28"/>
          <w:szCs w:val="28"/>
        </w:rPr>
        <w:t>Согласно Методике расчета, ключевыми показателями эффективности антимонопольного комплаенса являются:</w:t>
      </w:r>
    </w:p>
    <w:p w14:paraId="75FDCBF3" w14:textId="77777777" w:rsidR="00A26EAC" w:rsidRPr="00A26EAC" w:rsidRDefault="00A26EAC" w:rsidP="0030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AC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администрации Сосновского муниципального района (в сравнении с 2021 годом); </w:t>
      </w:r>
    </w:p>
    <w:p w14:paraId="2486231D" w14:textId="77777777" w:rsidR="00A26EAC" w:rsidRPr="00A26EAC" w:rsidRDefault="00A26EAC" w:rsidP="0030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AC">
        <w:rPr>
          <w:rFonts w:ascii="Times New Roman" w:hAnsi="Times New Roman" w:cs="Times New Roman"/>
          <w:sz w:val="28"/>
          <w:szCs w:val="28"/>
        </w:rPr>
        <w:t xml:space="preserve">б) доля проектов муниципальных правовых актов администрации Сосновского муниципального района, в которых выявлены риски нарушения антимонопольного законодательства; </w:t>
      </w:r>
    </w:p>
    <w:p w14:paraId="48FDD07F" w14:textId="77777777" w:rsidR="00A26EAC" w:rsidRPr="00A26EAC" w:rsidRDefault="00A26EAC" w:rsidP="00304F2D">
      <w:pPr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AC">
        <w:rPr>
          <w:rFonts w:ascii="Times New Roman" w:hAnsi="Times New Roman" w:cs="Times New Roman"/>
          <w:sz w:val="28"/>
          <w:szCs w:val="28"/>
        </w:rPr>
        <w:t>в)</w:t>
      </w:r>
      <w:r w:rsidRPr="00A26EAC">
        <w:rPr>
          <w:rFonts w:ascii="Times New Roman" w:hAnsi="Times New Roman" w:cs="Times New Roman"/>
          <w:sz w:val="28"/>
          <w:szCs w:val="28"/>
        </w:rPr>
        <w:tab/>
        <w:t>доля нормативных правовых актов, в которых выявлены риски нарушения антимонопольного законодательства.</w:t>
      </w:r>
    </w:p>
    <w:p w14:paraId="4C34847C" w14:textId="77777777" w:rsidR="00A26EAC" w:rsidRPr="00A26EAC" w:rsidRDefault="00A26EAC" w:rsidP="00304F2D">
      <w:pPr>
        <w:pStyle w:val="a6"/>
        <w:ind w:firstLine="709"/>
      </w:pPr>
    </w:p>
    <w:p w14:paraId="15CB558D" w14:textId="77777777" w:rsidR="00A26EAC" w:rsidRPr="00A26EAC" w:rsidRDefault="00A26EAC" w:rsidP="00304F2D">
      <w:pPr>
        <w:adjustRightInd w:val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08889F49" w14:textId="6B575D6C" w:rsidR="00FE1D4E" w:rsidRDefault="00FE1D4E" w:rsidP="00304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lastRenderedPageBreak/>
        <w:t xml:space="preserve">В целях оценки эффективности функционирования </w:t>
      </w:r>
      <w:r w:rsidR="00005E1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антимонопольного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комплаенса</w:t>
      </w:r>
      <w:r w:rsidR="00005E1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проведен расчет ключевых показателей оценки эффективности антимонопольного комплаенса в администрации Сосновского муниципального района.</w:t>
      </w:r>
    </w:p>
    <w:p w14:paraId="14DF6357" w14:textId="3C26C6B8" w:rsidR="00FE1D4E" w:rsidRDefault="00005E15" w:rsidP="00304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Сосновского муниципального района (по сравнению с 2021 годом) – значение отсутствует.</w:t>
      </w:r>
    </w:p>
    <w:p w14:paraId="65D84BD8" w14:textId="7DD97505" w:rsidR="00005E15" w:rsidRDefault="00005E15" w:rsidP="00304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Доля проектов нормативных правовых актов администрации, в которых выявлены риски нарушения антимонопольного законодательства – значение отсутствует. </w:t>
      </w:r>
    </w:p>
    <w:p w14:paraId="77D3A721" w14:textId="07707C9C" w:rsidR="00B335DF" w:rsidRDefault="00B335DF" w:rsidP="00304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Доля нормативных правовых актов администрации Сосновского муниципального района, в которых выявлены риски нарушения антимонопольного законодательства – значение отсутствует. </w:t>
      </w:r>
    </w:p>
    <w:p w14:paraId="01691BA8" w14:textId="31A4910C" w:rsidR="00B335DF" w:rsidRDefault="00B335DF" w:rsidP="00304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В целом деятельность администрации Сосновского муниципального района соответствует требованиям антимонопольного законодательства, в дальнейшей работе необходимо провести обучение сотрудников администрации по антимонопольному </w:t>
      </w:r>
      <w:r w:rsidR="003402BA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комплаенсу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. </w:t>
      </w:r>
    </w:p>
    <w:p w14:paraId="4703221E" w14:textId="77777777" w:rsidR="00B335DF" w:rsidRDefault="00B335DF" w:rsidP="00304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14:paraId="79F63A89" w14:textId="7630A0F0" w:rsidR="00083349" w:rsidRDefault="00083349" w:rsidP="00304F2D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p w14:paraId="429B0B1A" w14:textId="77777777" w:rsidR="00083349" w:rsidRDefault="00083349" w:rsidP="00304F2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sectPr w:rsidR="00083349" w:rsidSect="00304F2D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14:paraId="39B81A6E" w14:textId="77777777" w:rsidR="00A06BED" w:rsidRDefault="00A06BED" w:rsidP="00304F2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6DAB165" w14:textId="77777777" w:rsidR="00A06BED" w:rsidRDefault="00A06BED" w:rsidP="00304F2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A27AEC6" w14:textId="304302E1" w:rsidR="00304F2D" w:rsidRDefault="00304F2D" w:rsidP="00304F2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1</w:t>
      </w:r>
    </w:p>
    <w:p w14:paraId="0B101756" w14:textId="0204F1EC" w:rsidR="00103868" w:rsidRPr="00103868" w:rsidRDefault="00103868" w:rsidP="007746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Ключевые показатели</w:t>
      </w:r>
    </w:p>
    <w:p w14:paraId="035C07C0" w14:textId="77777777" w:rsidR="00103868" w:rsidRPr="00103868" w:rsidRDefault="00103868" w:rsidP="001038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эффективности функционирования</w:t>
      </w:r>
    </w:p>
    <w:p w14:paraId="7CA20B7E" w14:textId="77777777" w:rsidR="00103868" w:rsidRPr="00103868" w:rsidRDefault="00103868" w:rsidP="001038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антимонопольного комплаенса в Сосновском муниципальном районе</w:t>
      </w:r>
    </w:p>
    <w:p w14:paraId="6F9FCA32" w14:textId="77777777" w:rsidR="00103868" w:rsidRPr="00103868" w:rsidRDefault="00103868" w:rsidP="001038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03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критерии их оценки</w:t>
      </w:r>
    </w:p>
    <w:p w14:paraId="601CCFE1" w14:textId="77777777" w:rsidR="00103868" w:rsidRPr="00103868" w:rsidRDefault="00103868" w:rsidP="001038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271"/>
        <w:gridCol w:w="1701"/>
        <w:gridCol w:w="1843"/>
        <w:gridCol w:w="1878"/>
      </w:tblGrid>
      <w:tr w:rsidR="00103868" w:rsidRPr="00103868" w14:paraId="0058725B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E459" w14:textId="1C066291" w:rsidR="00103868" w:rsidRPr="00103868" w:rsidRDefault="00774676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="00103868"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пп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FC9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Ключевой показатель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AB8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Критерии оценки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878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Факт (единица)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0BF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в баллах</w:t>
            </w:r>
          </w:p>
        </w:tc>
      </w:tr>
      <w:tr w:rsidR="00103868" w:rsidRPr="00103868" w14:paraId="06033817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BC30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60F1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EE2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1C3" w14:textId="3F91D840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D06" w14:textId="78295A64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103868" w:rsidRPr="00103868" w14:paraId="30C096D4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3B7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1783" w14:textId="3874333F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комплаенсом,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C2E0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CD64" w14:textId="657DA9BC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9C7" w14:textId="1D3D6487" w:rsidR="00103868" w:rsidRPr="00103868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103868" w:rsidRPr="00103868" w14:paraId="6D62C02C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0D31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0A4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Выполнение плана мероприятий "дорожной карты"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70AC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42B" w14:textId="77777777" w:rsidR="005F6351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4EF6980" w14:textId="67D0A464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FB1" w14:textId="77777777" w:rsid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FAF2672" w14:textId="20B54CDA" w:rsidR="005F6351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103868" w:rsidRPr="00103868" w14:paraId="61E0BA55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33F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3B8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в карте рисков: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DA7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C8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3F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03868" w:rsidRPr="00103868" w14:paraId="1C3D1BBB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C8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85E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рисков высокого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75C4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188" w14:textId="5746412B" w:rsidR="00103868" w:rsidRPr="005F6351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3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CBC" w14:textId="3D3EFC51" w:rsidR="00103868" w:rsidRPr="005F6351" w:rsidRDefault="008F4CB3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63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103868" w:rsidRPr="00103868" w14:paraId="58A80B87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9D5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935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рисков существенного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0850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173" w14:textId="46CDD8A8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132" w14:textId="3A6ABBC8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03868" w:rsidRPr="00103868" w14:paraId="004540D5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02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B4D5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рисков незначительного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37AF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20F" w14:textId="61FD8FCD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16BE" w14:textId="2BB2BD27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103868" w:rsidRPr="00103868" w14:paraId="3C4C53FC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BA1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AEC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низкого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AFC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FC32" w14:textId="5782A574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0486" w14:textId="030F3E5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103868" w:rsidRPr="00103868" w14:paraId="04B41946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314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983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отсутствие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48DD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AB2" w14:textId="4A124841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249" w14:textId="08390F54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103868" w:rsidRPr="00103868" w14:paraId="0AC23E86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423D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CD4B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обоснованных замечаний, собранных при проведении анализа проектов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7364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F31" w14:textId="100DAC1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006" w14:textId="26138ED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103868" w:rsidRPr="00103868" w14:paraId="2DC955A5" w14:textId="77777777" w:rsidTr="0085336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5413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3BFC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Отсутствие обоснованных замечаний, собранных при проведении анализа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1FA5" w14:textId="77777777" w:rsidR="00103868" w:rsidRPr="00103868" w:rsidRDefault="00103868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38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267" w14:textId="778E8B2B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B82" w14:textId="4781CD30" w:rsidR="00103868" w:rsidRPr="00103868" w:rsidRDefault="005F6351" w:rsidP="008533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</w:tbl>
    <w:p w14:paraId="017C539F" w14:textId="3FF3E7CA" w:rsidR="007919AF" w:rsidRDefault="007919AF" w:rsidP="00103868">
      <w:pPr>
        <w:pStyle w:val="20"/>
        <w:shd w:val="clear" w:color="auto" w:fill="auto"/>
        <w:spacing w:after="244" w:line="346" w:lineRule="exact"/>
      </w:pPr>
    </w:p>
    <w:sectPr w:rsidR="007919AF" w:rsidSect="00853366">
      <w:pgSz w:w="16840" w:h="11900" w:orient="landscape"/>
      <w:pgMar w:top="851" w:right="1134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8D9A8" w14:textId="77777777" w:rsidR="00136863" w:rsidRDefault="00136863">
      <w:r>
        <w:separator/>
      </w:r>
    </w:p>
  </w:endnote>
  <w:endnote w:type="continuationSeparator" w:id="0">
    <w:p w14:paraId="10163DED" w14:textId="77777777" w:rsidR="00136863" w:rsidRDefault="0013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6AD2" w14:textId="77777777" w:rsidR="00136863" w:rsidRDefault="00136863"/>
  </w:footnote>
  <w:footnote w:type="continuationSeparator" w:id="0">
    <w:p w14:paraId="79E09A36" w14:textId="77777777" w:rsidR="00136863" w:rsidRDefault="001368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1A6"/>
    <w:multiLevelType w:val="multilevel"/>
    <w:tmpl w:val="32ECD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C20B8"/>
    <w:multiLevelType w:val="multilevel"/>
    <w:tmpl w:val="B6CA0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F"/>
    <w:rsid w:val="00005E15"/>
    <w:rsid w:val="00083349"/>
    <w:rsid w:val="000E5112"/>
    <w:rsid w:val="00103868"/>
    <w:rsid w:val="0012542B"/>
    <w:rsid w:val="00136863"/>
    <w:rsid w:val="00207D4E"/>
    <w:rsid w:val="002A5AA9"/>
    <w:rsid w:val="00304F2D"/>
    <w:rsid w:val="003402BA"/>
    <w:rsid w:val="005249CD"/>
    <w:rsid w:val="00527513"/>
    <w:rsid w:val="005F6351"/>
    <w:rsid w:val="00607EA4"/>
    <w:rsid w:val="007371DF"/>
    <w:rsid w:val="00774676"/>
    <w:rsid w:val="00774BFA"/>
    <w:rsid w:val="007919AF"/>
    <w:rsid w:val="007D2196"/>
    <w:rsid w:val="008529F8"/>
    <w:rsid w:val="00853366"/>
    <w:rsid w:val="008779E4"/>
    <w:rsid w:val="008F4CB3"/>
    <w:rsid w:val="00990D1E"/>
    <w:rsid w:val="00A06A01"/>
    <w:rsid w:val="00A06BED"/>
    <w:rsid w:val="00A26EAC"/>
    <w:rsid w:val="00A9697C"/>
    <w:rsid w:val="00B335DF"/>
    <w:rsid w:val="00B6180A"/>
    <w:rsid w:val="00C137F1"/>
    <w:rsid w:val="00CD1322"/>
    <w:rsid w:val="00CF329E"/>
    <w:rsid w:val="00D11AA7"/>
    <w:rsid w:val="00DF62A4"/>
    <w:rsid w:val="00E161D4"/>
    <w:rsid w:val="00E57718"/>
    <w:rsid w:val="00E7209D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780"/>
  <w15:docId w15:val="{9F401954-5592-4BCC-AAE1-9C1FC1D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Calibri17pt0pt">
    <w:name w:val="Заголовок №1 + Calibri;17 pt;Полужирный;Интервал 0 pt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12pt">
    <w:name w:val="Основной текст (5) + Times New Roman;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5pt">
    <w:name w:val="Основной текст (5) + 9;5 pt;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4pt">
    <w:name w:val="Основной текст (6) + Times New Roman;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2pt0">
    <w:name w:val="Основной текст (5) + Times New Roman;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3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83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480" w:line="312" w:lineRule="exact"/>
      <w:ind w:firstLine="7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ind w:firstLine="800"/>
      <w:jc w:val="both"/>
    </w:pPr>
    <w:rPr>
      <w:rFonts w:ascii="Times New Roman" w:eastAsia="Times New Roman" w:hAnsi="Times New Roman" w:cs="Times New Roman"/>
      <w:i/>
      <w:iCs/>
      <w:sz w:val="11"/>
      <w:szCs w:val="11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77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18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A26EAC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A26EAC"/>
    <w:rPr>
      <w:rFonts w:ascii="Times New Roman" w:eastAsia="Times New Roman" w:hAnsi="Times New Roman" w:cs="Times New Roman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Татьяна Евгеньевна Шахова</cp:lastModifiedBy>
  <cp:revision>5</cp:revision>
  <cp:lastPrinted>2021-06-03T04:56:00Z</cp:lastPrinted>
  <dcterms:created xsi:type="dcterms:W3CDTF">2023-06-07T11:21:00Z</dcterms:created>
  <dcterms:modified xsi:type="dcterms:W3CDTF">2023-06-20T12:20:00Z</dcterms:modified>
</cp:coreProperties>
</file>