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CE" w:rsidRDefault="004958CE" w:rsidP="004958CE">
      <w:pPr>
        <w:pStyle w:val="Default"/>
      </w:pPr>
    </w:p>
    <w:p w:rsidR="004958CE" w:rsidRPr="00CB630A" w:rsidRDefault="004958CE" w:rsidP="00CB630A">
      <w:pPr>
        <w:pStyle w:val="Default"/>
        <w:jc w:val="center"/>
        <w:rPr>
          <w:rFonts w:ascii="PF Din Text Cond Pro Light" w:hAnsi="PF Din Text Cond Pro Light" w:cs="PF Din Text Comp Pro"/>
        </w:rPr>
      </w:pPr>
      <w:r w:rsidRPr="00CB630A">
        <w:rPr>
          <w:rFonts w:ascii="PF Din Text Cond Pro Light" w:hAnsi="PF Din Text Cond Pro Light"/>
          <w:sz w:val="27"/>
          <w:szCs w:val="27"/>
        </w:rPr>
        <w:t>Пресс-релиз</w:t>
      </w:r>
    </w:p>
    <w:p w:rsidR="004958CE" w:rsidRPr="00CB630A" w:rsidRDefault="004958CE" w:rsidP="00CB630A">
      <w:pPr>
        <w:pStyle w:val="Default"/>
        <w:jc w:val="center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 w:cs="PF Din Text Comp Pro"/>
          <w:sz w:val="28"/>
          <w:szCs w:val="28"/>
        </w:rPr>
        <w:t>УФНС РОССИИ ПО ЧЕЛЯБИНСКОЙ ОБЛАСТИ</w:t>
      </w: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«О введении обязанности электронного взаимодействия с налоговыми органами» </w:t>
      </w:r>
    </w:p>
    <w:p w:rsidR="00CB630A" w:rsidRPr="00CB630A" w:rsidRDefault="00CB630A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В соответствии с пунктом 3 статьи 80 и пунктом 5 статьи 174 Налогового кодекса Российской Федерации налоговая декларация по НДС должна представляться в электронной форме по телекоммуникационным каналам связи через оператора электронного документооборота. </w:t>
      </w:r>
    </w:p>
    <w:p w:rsidR="00CB630A" w:rsidRDefault="00CB630A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С 2015 года на основании пункта 5 статьи 174 Кодекса налоговая декларация по НДС, представленная на бумажном носителе, считается </w:t>
      </w:r>
      <w:proofErr w:type="spellStart"/>
      <w:r w:rsidRPr="00CB630A">
        <w:rPr>
          <w:rFonts w:ascii="PF Din Text Cond Pro Light" w:hAnsi="PF Din Text Cond Pro Light"/>
          <w:sz w:val="27"/>
          <w:szCs w:val="27"/>
        </w:rPr>
        <w:t>непредставленной</w:t>
      </w:r>
      <w:proofErr w:type="spellEnd"/>
      <w:r w:rsidRPr="00CB630A">
        <w:rPr>
          <w:rFonts w:ascii="PF Din Text Cond Pro Light" w:hAnsi="PF Din Text Cond Pro Light"/>
          <w:sz w:val="27"/>
          <w:szCs w:val="27"/>
        </w:rPr>
        <w:t xml:space="preserve">. </w:t>
      </w:r>
    </w:p>
    <w:p w:rsidR="00CB630A" w:rsidRDefault="00CB630A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Кроме того, в соответствии со статьей 23 Налогового кодекса Российской Федерации лица, на которых возложена обязанность </w:t>
      </w:r>
      <w:proofErr w:type="gramStart"/>
      <w:r w:rsidRPr="00CB630A">
        <w:rPr>
          <w:rFonts w:ascii="PF Din Text Cond Pro Light" w:hAnsi="PF Din Text Cond Pro Light"/>
          <w:sz w:val="27"/>
          <w:szCs w:val="27"/>
        </w:rPr>
        <w:t>представлять</w:t>
      </w:r>
      <w:proofErr w:type="gramEnd"/>
      <w:r w:rsidRPr="00CB630A">
        <w:rPr>
          <w:rFonts w:ascii="PF Din Text Cond Pro Light" w:hAnsi="PF Din Text Cond Pro Light"/>
          <w:sz w:val="27"/>
          <w:szCs w:val="27"/>
        </w:rPr>
        <w:t xml:space="preserve"> налоговую декларацию в электронной форме, должны с 01.01.2015 обеспечить электронное взаимодействие с налоговым органом. Налогоплательщики обязаны передать налоговому органу в электронной форме квитанцию о приеме документов (требования о представлении документов или пояснений, а также уведомления о вызове в налоговый орган) в течение шести дней со дня их отправки налоговым органом. </w:t>
      </w:r>
    </w:p>
    <w:p w:rsidR="00CB630A" w:rsidRDefault="00CB630A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На основании пункта 5.1 статьи 174 НК РФ (в редакции Федерального закона от 28.06.2013 № 134-ФЗ) в налоговой декларации по НДС будут отражаться сведения об операциях налогоплательщика из книги покупок и книги продаж, журнала учета полученных и выставленных счетов-фактур. </w:t>
      </w:r>
    </w:p>
    <w:p w:rsidR="00CB630A" w:rsidRDefault="00CB630A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Указанные изменения дают возможность использования автоматизированной системы камерального контроля АСК-2 по сопоставлению покупок и продаж различных организаций и выявления «точек разрыва». Исчезнет потребность в истребовании значительных объемов документов, поскольку подтверждение реальности и достоверности, указанных в декларации данных будет производиться автоматически. </w:t>
      </w:r>
    </w:p>
    <w:p w:rsidR="00DA4E37" w:rsidRDefault="00DA4E37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Электронный документооборот по телекоммуникационным каналам связи между налоговыми органами и налогоплательщиками осуществляется через операторов электронного документооборота. На сайте ФНС России в разделе «Представление налоговой и бухгалтерской отчетности» размещена информация о 88 организациях – операторах и порядке подключения. </w:t>
      </w:r>
    </w:p>
    <w:p w:rsidR="00DA4E37" w:rsidRDefault="00DA4E37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</w:p>
    <w:p w:rsidR="004958CE" w:rsidRPr="00CB630A" w:rsidRDefault="004958CE" w:rsidP="00CB630A">
      <w:pPr>
        <w:pStyle w:val="Default"/>
        <w:jc w:val="both"/>
        <w:rPr>
          <w:rFonts w:ascii="PF Din Text Cond Pro Light" w:hAnsi="PF Din Text Cond Pro Light"/>
          <w:sz w:val="27"/>
          <w:szCs w:val="27"/>
        </w:rPr>
      </w:pPr>
      <w:r w:rsidRPr="00CB630A">
        <w:rPr>
          <w:rFonts w:ascii="PF Din Text Cond Pro Light" w:hAnsi="PF Din Text Cond Pro Light"/>
          <w:sz w:val="27"/>
          <w:szCs w:val="27"/>
        </w:rPr>
        <w:t xml:space="preserve">При наличии вопросов, связанных с изменением налогового законодательства по администрированию НДС или связанных с заполнением и представлением налоговой декларации по НДС за 1 квартал 2015 года можно обратиться к разделу «НДС 2015» на сайте </w:t>
      </w:r>
      <w:proofErr w:type="spellStart"/>
      <w:r w:rsidRPr="00CB630A">
        <w:rPr>
          <w:rFonts w:ascii="PF Din Text Cond Pro Light" w:hAnsi="PF Din Text Cond Pro Light"/>
          <w:sz w:val="27"/>
          <w:szCs w:val="27"/>
        </w:rPr>
        <w:t>www.nalog.ru</w:t>
      </w:r>
      <w:proofErr w:type="spellEnd"/>
      <w:r w:rsidRPr="00CB630A">
        <w:rPr>
          <w:rFonts w:ascii="PF Din Text Cond Pro Light" w:hAnsi="PF Din Text Cond Pro Light"/>
          <w:sz w:val="27"/>
          <w:szCs w:val="27"/>
        </w:rPr>
        <w:t xml:space="preserve"> или в любой территориальный налоговый орган. </w:t>
      </w:r>
    </w:p>
    <w:p w:rsidR="00612D83" w:rsidRPr="00CB630A" w:rsidRDefault="00612D83" w:rsidP="00CB630A">
      <w:pPr>
        <w:jc w:val="both"/>
        <w:rPr>
          <w:rFonts w:ascii="PF Din Text Cond Pro Light" w:hAnsi="PF Din Text Cond Pro Light"/>
        </w:rPr>
      </w:pPr>
    </w:p>
    <w:sectPr w:rsidR="00612D83" w:rsidRPr="00CB630A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altName w:val="PF Din Text Comp Pro Medium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8CE"/>
    <w:rsid w:val="00134D1F"/>
    <w:rsid w:val="00235787"/>
    <w:rsid w:val="00254294"/>
    <w:rsid w:val="003F52B0"/>
    <w:rsid w:val="00407A11"/>
    <w:rsid w:val="00422472"/>
    <w:rsid w:val="00484574"/>
    <w:rsid w:val="004958CE"/>
    <w:rsid w:val="004C0902"/>
    <w:rsid w:val="00566393"/>
    <w:rsid w:val="00585396"/>
    <w:rsid w:val="00612D83"/>
    <w:rsid w:val="00664C55"/>
    <w:rsid w:val="006C2B67"/>
    <w:rsid w:val="007A6EC6"/>
    <w:rsid w:val="008B3EF6"/>
    <w:rsid w:val="00961152"/>
    <w:rsid w:val="009D54B3"/>
    <w:rsid w:val="00AC7BA0"/>
    <w:rsid w:val="00AF4072"/>
    <w:rsid w:val="00BD7653"/>
    <w:rsid w:val="00CB630A"/>
    <w:rsid w:val="00DA4E37"/>
    <w:rsid w:val="00F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8CE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</cp:revision>
  <dcterms:created xsi:type="dcterms:W3CDTF">2015-04-08T11:38:00Z</dcterms:created>
  <dcterms:modified xsi:type="dcterms:W3CDTF">2015-04-08T12:14:00Z</dcterms:modified>
</cp:coreProperties>
</file>